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7645E">
      <w:pPr>
        <w:spacing w:line="395" w:lineRule="exact"/>
        <w:rPr>
          <w:rFonts w:hint="eastAsia" w:ascii="宋体" w:hAnsi="宋体" w:eastAsia="宋体"/>
        </w:rPr>
      </w:pPr>
      <w:bookmarkStart w:id="0" w:name="_Hlk169641777"/>
      <w:bookmarkEnd w:id="0"/>
      <w:r>
        <w:rPr>
          <w:rFonts w:ascii="宋体" w:hAnsi="宋体" w:eastAsia="宋体"/>
          <w:position w:val="-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53975</wp:posOffset>
            </wp:positionV>
            <wp:extent cx="1371600" cy="4000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A22AA9">
      <w:pPr>
        <w:spacing w:line="242" w:lineRule="auto"/>
        <w:rPr>
          <w:rFonts w:hint="eastAsia" w:ascii="宋体" w:hAnsi="宋体" w:eastAsia="宋体"/>
        </w:rPr>
      </w:pPr>
    </w:p>
    <w:p w14:paraId="3A4B7E4B">
      <w:pPr>
        <w:spacing w:before="4"/>
        <w:rPr>
          <w:rFonts w:hint="eastAsia" w:ascii="宋体" w:hAnsi="宋体" w:eastAsia="宋体"/>
          <w:lang w:eastAsia="zh-CN"/>
        </w:rPr>
      </w:pPr>
    </w:p>
    <w:p w14:paraId="7D38E879">
      <w:pPr>
        <w:spacing w:before="4"/>
        <w:rPr>
          <w:rFonts w:hint="eastAsia" w:ascii="宋体" w:hAnsi="宋体" w:eastAsia="宋体"/>
          <w:lang w:eastAsia="zh-CN"/>
        </w:rPr>
      </w:pPr>
    </w:p>
    <w:p w14:paraId="0B3B5303">
      <w:pPr>
        <w:spacing w:before="4"/>
        <w:rPr>
          <w:rFonts w:hint="eastAsia" w:ascii="宋体" w:hAnsi="宋体" w:eastAsia="宋体"/>
          <w:lang w:eastAsia="zh-CN"/>
        </w:rPr>
      </w:pPr>
    </w:p>
    <w:p w14:paraId="7DEC40AD">
      <w:pPr>
        <w:spacing w:before="4"/>
        <w:rPr>
          <w:rFonts w:hint="eastAsia" w:ascii="宋体" w:hAnsi="宋体" w:eastAsia="宋体"/>
          <w:lang w:eastAsia="zh-CN"/>
        </w:rPr>
      </w:pPr>
    </w:p>
    <w:p w14:paraId="6B7A1B97">
      <w:pPr>
        <w:spacing w:before="4"/>
        <w:rPr>
          <w:rFonts w:hint="eastAsia" w:ascii="宋体" w:hAnsi="宋体" w:eastAsia="宋体"/>
          <w:lang w:eastAsia="zh-CN"/>
        </w:rPr>
      </w:pPr>
    </w:p>
    <w:p w14:paraId="46815BAD">
      <w:pPr>
        <w:spacing w:before="4"/>
        <w:rPr>
          <w:rFonts w:hint="eastAsia" w:ascii="宋体" w:hAnsi="宋体" w:eastAsia="宋体"/>
          <w:lang w:eastAsia="zh-CN"/>
        </w:rPr>
      </w:pPr>
    </w:p>
    <w:p w14:paraId="7C93F942">
      <w:pPr>
        <w:jc w:val="center"/>
        <w:rPr>
          <w:rFonts w:hint="eastAsia"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48"/>
          <w:szCs w:val="48"/>
          <w:lang w:eastAsia="zh-CN"/>
        </w:rPr>
        <w:t>风电</w:t>
      </w:r>
      <w:r>
        <w:rPr>
          <w:rFonts w:hint="eastAsia" w:ascii="宋体" w:hAnsi="宋体" w:eastAsia="宋体" w:cs="宋体"/>
          <w:b/>
          <w:bCs/>
          <w:spacing w:val="-6"/>
          <w:sz w:val="48"/>
          <w:szCs w:val="48"/>
          <w:lang w:val="en-US" w:eastAsia="zh-CN"/>
        </w:rPr>
        <w:t>机组</w:t>
      </w:r>
      <w:r>
        <w:rPr>
          <w:rFonts w:ascii="宋体" w:hAnsi="宋体" w:eastAsia="宋体" w:cs="宋体"/>
          <w:b/>
          <w:bCs/>
          <w:spacing w:val="-7"/>
          <w:sz w:val="48"/>
          <w:szCs w:val="48"/>
          <w:lang w:eastAsia="zh-CN"/>
        </w:rPr>
        <w:t>功率曲线测试方案</w:t>
      </w:r>
    </w:p>
    <w:p w14:paraId="53CE56C8">
      <w:pPr>
        <w:spacing w:before="4"/>
        <w:rPr>
          <w:rFonts w:hint="eastAsia" w:ascii="宋体" w:hAnsi="宋体" w:eastAsia="宋体"/>
          <w:lang w:eastAsia="zh-CN"/>
        </w:rPr>
      </w:pPr>
    </w:p>
    <w:p w14:paraId="2DE40F99">
      <w:pPr>
        <w:spacing w:before="4"/>
        <w:rPr>
          <w:rFonts w:hint="eastAsia" w:ascii="宋体" w:hAnsi="宋体" w:eastAsia="宋体"/>
          <w:lang w:eastAsia="zh-CN"/>
        </w:rPr>
      </w:pPr>
    </w:p>
    <w:p w14:paraId="21372B5D">
      <w:pPr>
        <w:spacing w:before="4"/>
        <w:rPr>
          <w:rFonts w:hint="eastAsia" w:ascii="宋体" w:hAnsi="宋体" w:eastAsia="宋体"/>
          <w:lang w:eastAsia="zh-CN"/>
        </w:rPr>
      </w:pPr>
    </w:p>
    <w:p w14:paraId="5C874CE6">
      <w:pPr>
        <w:spacing w:before="4"/>
        <w:rPr>
          <w:rFonts w:hint="eastAsia" w:ascii="宋体" w:hAnsi="宋体" w:eastAsia="宋体"/>
          <w:lang w:eastAsia="zh-CN"/>
        </w:rPr>
      </w:pPr>
    </w:p>
    <w:p w14:paraId="4D9E03A6">
      <w:pPr>
        <w:spacing w:before="4"/>
        <w:rPr>
          <w:rFonts w:hint="eastAsia" w:ascii="宋体" w:hAnsi="宋体" w:eastAsia="宋体"/>
          <w:lang w:eastAsia="zh-CN"/>
        </w:rPr>
      </w:pPr>
    </w:p>
    <w:p w14:paraId="41FEC6F4">
      <w:pPr>
        <w:spacing w:before="4"/>
        <w:rPr>
          <w:rFonts w:hint="eastAsia" w:ascii="宋体" w:hAnsi="宋体" w:eastAsia="宋体"/>
          <w:lang w:eastAsia="zh-CN"/>
        </w:rPr>
      </w:pPr>
    </w:p>
    <w:p w14:paraId="66235BB3">
      <w:pPr>
        <w:spacing w:before="4"/>
        <w:rPr>
          <w:rFonts w:hint="eastAsia" w:ascii="宋体" w:hAnsi="宋体" w:eastAsia="宋体"/>
          <w:lang w:eastAsia="zh-CN"/>
        </w:rPr>
      </w:pPr>
    </w:p>
    <w:p w14:paraId="7581D2CB">
      <w:pPr>
        <w:spacing w:before="4"/>
        <w:rPr>
          <w:rFonts w:hint="eastAsia" w:ascii="宋体" w:hAnsi="宋体" w:eastAsia="宋体"/>
          <w:lang w:eastAsia="zh-CN"/>
        </w:rPr>
      </w:pPr>
    </w:p>
    <w:p w14:paraId="10809DC0">
      <w:pPr>
        <w:spacing w:before="4"/>
        <w:rPr>
          <w:rFonts w:hint="eastAsia" w:ascii="宋体" w:hAnsi="宋体" w:eastAsia="宋体"/>
          <w:lang w:eastAsia="zh-CN"/>
        </w:rPr>
      </w:pPr>
    </w:p>
    <w:p w14:paraId="313086B9">
      <w:pPr>
        <w:spacing w:before="4"/>
        <w:rPr>
          <w:rFonts w:hint="eastAsia" w:ascii="宋体" w:hAnsi="宋体" w:eastAsia="宋体"/>
          <w:lang w:eastAsia="zh-CN"/>
        </w:rPr>
      </w:pPr>
    </w:p>
    <w:tbl>
      <w:tblPr>
        <w:tblStyle w:val="9"/>
        <w:tblW w:w="553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6"/>
        <w:gridCol w:w="2134"/>
        <w:gridCol w:w="2151"/>
      </w:tblGrid>
      <w:tr w14:paraId="3C4ACB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46" w:type="dxa"/>
            <w:tcBorders>
              <w:top w:val="single" w:color="000000" w:sz="10" w:space="0"/>
              <w:left w:val="single" w:color="000000" w:sz="10" w:space="0"/>
            </w:tcBorders>
          </w:tcPr>
          <w:p w14:paraId="2DAD34FC">
            <w:pPr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134" w:type="dxa"/>
            <w:tcBorders>
              <w:top w:val="single" w:color="000000" w:sz="10" w:space="0"/>
            </w:tcBorders>
          </w:tcPr>
          <w:p w14:paraId="68D66FDA">
            <w:pPr>
              <w:pStyle w:val="10"/>
              <w:spacing w:before="156" w:line="225" w:lineRule="auto"/>
              <w:ind w:left="674"/>
              <w:rPr>
                <w:rFonts w:hint="eastAsia"/>
              </w:rPr>
            </w:pPr>
            <w:r>
              <w:rPr>
                <w:spacing w:val="-2"/>
              </w:rPr>
              <w:t>姓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名</w:t>
            </w:r>
          </w:p>
        </w:tc>
        <w:tc>
          <w:tcPr>
            <w:tcW w:w="2151" w:type="dxa"/>
            <w:tcBorders>
              <w:top w:val="single" w:color="000000" w:sz="10" w:space="0"/>
              <w:right w:val="single" w:color="000000" w:sz="10" w:space="0"/>
            </w:tcBorders>
          </w:tcPr>
          <w:p w14:paraId="2F467031">
            <w:pPr>
              <w:pStyle w:val="10"/>
              <w:spacing w:before="156" w:line="226" w:lineRule="auto"/>
              <w:ind w:left="742"/>
              <w:rPr>
                <w:rFonts w:hint="eastAsia"/>
              </w:rPr>
            </w:pPr>
            <w:r>
              <w:rPr>
                <w:spacing w:val="-30"/>
              </w:rPr>
              <w:t>日</w:t>
            </w:r>
            <w:r>
              <w:rPr>
                <w:spacing w:val="21"/>
              </w:rPr>
              <w:t xml:space="preserve"> </w:t>
            </w:r>
            <w:r>
              <w:rPr>
                <w:spacing w:val="-30"/>
              </w:rPr>
              <w:t>期</w:t>
            </w:r>
          </w:p>
        </w:tc>
      </w:tr>
      <w:tr w14:paraId="0D9E9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246" w:type="dxa"/>
            <w:tcBorders>
              <w:left w:val="single" w:color="000000" w:sz="10" w:space="0"/>
            </w:tcBorders>
          </w:tcPr>
          <w:p w14:paraId="1C5DE92E">
            <w:pPr>
              <w:pStyle w:val="10"/>
              <w:spacing w:before="166" w:line="220" w:lineRule="auto"/>
              <w:ind w:left="317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编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制</w:t>
            </w:r>
          </w:p>
        </w:tc>
        <w:tc>
          <w:tcPr>
            <w:tcW w:w="2134" w:type="dxa"/>
            <w:vAlign w:val="center"/>
          </w:tcPr>
          <w:p w14:paraId="59C7498C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151" w:type="dxa"/>
            <w:tcBorders>
              <w:right w:val="single" w:color="000000" w:sz="10" w:space="0"/>
            </w:tcBorders>
            <w:vAlign w:val="center"/>
          </w:tcPr>
          <w:p w14:paraId="15A24786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 w14:paraId="4988D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246" w:type="dxa"/>
            <w:tcBorders>
              <w:left w:val="single" w:color="000000" w:sz="10" w:space="0"/>
              <w:bottom w:val="single" w:color="000000" w:sz="10" w:space="0"/>
            </w:tcBorders>
          </w:tcPr>
          <w:p w14:paraId="194662C6">
            <w:pPr>
              <w:pStyle w:val="10"/>
              <w:spacing w:before="175" w:line="220" w:lineRule="auto"/>
              <w:ind w:left="327"/>
              <w:rPr>
                <w:rFonts w:hint="eastAsia"/>
                <w:sz w:val="24"/>
                <w:szCs w:val="24"/>
              </w:rPr>
            </w:pPr>
            <w:r>
              <w:rPr>
                <w:b/>
                <w:bCs/>
                <w:spacing w:val="-14"/>
                <w:sz w:val="24"/>
                <w:szCs w:val="24"/>
              </w:rPr>
              <w:t>审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4"/>
                <w:sz w:val="24"/>
                <w:szCs w:val="24"/>
              </w:rPr>
              <w:t>批</w:t>
            </w:r>
          </w:p>
        </w:tc>
        <w:tc>
          <w:tcPr>
            <w:tcW w:w="2134" w:type="dxa"/>
            <w:tcBorders>
              <w:bottom w:val="single" w:color="000000" w:sz="10" w:space="0"/>
            </w:tcBorders>
            <w:vAlign w:val="center"/>
          </w:tcPr>
          <w:p w14:paraId="3C47FA01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151" w:type="dxa"/>
            <w:tcBorders>
              <w:bottom w:val="single" w:color="000000" w:sz="10" w:space="0"/>
              <w:right w:val="single" w:color="000000" w:sz="10" w:space="0"/>
            </w:tcBorders>
            <w:vAlign w:val="center"/>
          </w:tcPr>
          <w:p w14:paraId="5C4476A7"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</w:tbl>
    <w:p w14:paraId="22767F8F">
      <w:pPr>
        <w:rPr>
          <w:rFonts w:hint="eastAsia" w:ascii="宋体" w:hAnsi="宋体" w:eastAsia="宋体"/>
          <w:lang w:eastAsia="zh-CN"/>
        </w:rPr>
        <w:sectPr>
          <w:pgSz w:w="11907" w:h="16839"/>
          <w:pgMar w:top="1040" w:right="1785" w:bottom="0" w:left="1300" w:header="0" w:footer="0" w:gutter="0"/>
          <w:cols w:space="720" w:num="1"/>
        </w:sectPr>
      </w:pPr>
    </w:p>
    <w:p w14:paraId="3708518A">
      <w:pPr>
        <w:pStyle w:val="3"/>
        <w:spacing w:line="264" w:lineRule="auto"/>
        <w:rPr>
          <w:rFonts w:hint="eastAsia" w:ascii="宋体" w:hAnsi="宋体" w:eastAsia="宋体"/>
          <w:lang w:eastAsia="zh-CN"/>
        </w:rPr>
      </w:pPr>
    </w:p>
    <w:p w14:paraId="552CE4A3">
      <w:pPr>
        <w:spacing w:after="100" w:afterAutospacing="1" w:line="480" w:lineRule="auto"/>
        <w:ind w:left="3963"/>
        <w:outlineLvl w:val="0"/>
        <w:rPr>
          <w:rFonts w:hint="eastAsia" w:ascii="宋体" w:hAnsi="宋体" w:eastAsia="宋体" w:cs="仿宋"/>
          <w:sz w:val="36"/>
          <w:szCs w:val="36"/>
          <w:lang w:eastAsia="zh-CN"/>
        </w:rPr>
      </w:pPr>
      <w:r>
        <w:rPr>
          <w:rFonts w:ascii="宋体" w:hAnsi="宋体" w:eastAsia="宋体" w:cs="仿宋"/>
          <w:b/>
          <w:bCs/>
          <w:spacing w:val="-12"/>
          <w:sz w:val="36"/>
          <w:szCs w:val="36"/>
        </w:rPr>
        <w:t>注意事项</w:t>
      </w:r>
    </w:p>
    <w:p w14:paraId="364C2253">
      <w:pPr>
        <w:pStyle w:val="13"/>
        <w:numPr>
          <w:ilvl w:val="0"/>
          <w:numId w:val="1"/>
        </w:numPr>
        <w:spacing w:before="100" w:beforeAutospacing="1" w:after="100" w:afterAutospacing="1" w:line="360" w:lineRule="auto"/>
        <w:ind w:left="442" w:hanging="442" w:firstLineChars="0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3"/>
          <w:sz w:val="28"/>
          <w:szCs w:val="28"/>
          <w:lang w:eastAsia="zh-CN"/>
        </w:rPr>
        <w:t>本文件由中国船级社质量认证公司依据有关标准和客</w:t>
      </w:r>
      <w:r>
        <w:rPr>
          <w:rFonts w:ascii="宋体" w:hAnsi="宋体" w:eastAsia="宋体" w:cs="仿宋"/>
          <w:b/>
          <w:bCs/>
          <w:spacing w:val="2"/>
          <w:sz w:val="28"/>
          <w:szCs w:val="28"/>
          <w:lang w:eastAsia="zh-CN"/>
        </w:rPr>
        <w:t>户要求</w:t>
      </w:r>
      <w:r>
        <w:rPr>
          <w:rFonts w:ascii="宋体" w:hAnsi="宋体" w:eastAsia="宋体" w:cs="仿宋"/>
          <w:b/>
          <w:bCs/>
          <w:spacing w:val="-16"/>
          <w:sz w:val="28"/>
          <w:szCs w:val="28"/>
          <w:lang w:eastAsia="zh-CN"/>
        </w:rPr>
        <w:t>起草。</w:t>
      </w:r>
    </w:p>
    <w:p w14:paraId="21CD8D37">
      <w:pPr>
        <w:pStyle w:val="13"/>
        <w:numPr>
          <w:ilvl w:val="0"/>
          <w:numId w:val="1"/>
        </w:numPr>
        <w:spacing w:before="100" w:beforeAutospacing="1" w:after="100" w:afterAutospacing="1" w:line="360" w:lineRule="auto"/>
        <w:ind w:left="442" w:hanging="442" w:firstLineChars="0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-3"/>
          <w:sz w:val="28"/>
          <w:szCs w:val="28"/>
          <w:lang w:eastAsia="zh-CN"/>
        </w:rPr>
        <w:t>本文件无编制、审批签署无效。</w:t>
      </w:r>
    </w:p>
    <w:p w14:paraId="65AF4042">
      <w:pPr>
        <w:pStyle w:val="13"/>
        <w:numPr>
          <w:ilvl w:val="0"/>
          <w:numId w:val="1"/>
        </w:numPr>
        <w:spacing w:before="100" w:beforeAutospacing="1" w:after="100" w:afterAutospacing="1" w:line="360" w:lineRule="auto"/>
        <w:ind w:left="442" w:hanging="442" w:firstLineChars="0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-2"/>
          <w:sz w:val="28"/>
          <w:szCs w:val="28"/>
          <w:lang w:eastAsia="zh-CN"/>
        </w:rPr>
        <w:t>本文件实施前需提交客户确认，客户如对本技</w:t>
      </w:r>
      <w:r>
        <w:rPr>
          <w:rFonts w:ascii="宋体" w:hAnsi="宋体" w:eastAsia="宋体" w:cs="仿宋"/>
          <w:b/>
          <w:bCs/>
          <w:spacing w:val="-3"/>
          <w:sz w:val="28"/>
          <w:szCs w:val="28"/>
          <w:lang w:eastAsia="zh-CN"/>
        </w:rPr>
        <w:t>术方案有异议，</w:t>
      </w:r>
      <w:r>
        <w:rPr>
          <w:rFonts w:ascii="宋体" w:hAnsi="宋体" w:eastAsia="宋体" w:cs="仿宋"/>
          <w:b/>
          <w:bCs/>
          <w:spacing w:val="3"/>
          <w:sz w:val="28"/>
          <w:szCs w:val="28"/>
          <w:lang w:eastAsia="zh-CN"/>
        </w:rPr>
        <w:t>应于收到本方案之日起五个工作日内向本机构提出书面反馈</w:t>
      </w:r>
      <w:r>
        <w:rPr>
          <w:rFonts w:ascii="宋体" w:hAnsi="宋体" w:eastAsia="宋体" w:cs="仿宋"/>
          <w:b/>
          <w:bCs/>
          <w:spacing w:val="-5"/>
          <w:sz w:val="28"/>
          <w:szCs w:val="28"/>
          <w:lang w:eastAsia="zh-CN"/>
        </w:rPr>
        <w:t>，</w:t>
      </w:r>
      <w:r>
        <w:rPr>
          <w:rFonts w:ascii="宋体" w:hAnsi="宋体" w:eastAsia="宋体" w:cs="仿宋"/>
          <w:b/>
          <w:bCs/>
          <w:spacing w:val="-7"/>
          <w:sz w:val="28"/>
          <w:szCs w:val="28"/>
          <w:lang w:eastAsia="zh-CN"/>
        </w:rPr>
        <w:t>逾期无反馈将视同同意。</w:t>
      </w:r>
    </w:p>
    <w:p w14:paraId="0F41168C">
      <w:pPr>
        <w:ind w:left="420" w:leftChars="200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3"/>
          <w:sz w:val="28"/>
          <w:szCs w:val="28"/>
          <w:lang w:eastAsia="zh-CN"/>
        </w:rPr>
        <w:t>本机构联系方式</w:t>
      </w:r>
      <w:r>
        <w:rPr>
          <w:rFonts w:ascii="宋体" w:hAnsi="宋体" w:eastAsia="宋体" w:cs="仿宋"/>
          <w:b/>
          <w:bCs/>
          <w:spacing w:val="-11"/>
          <w:sz w:val="28"/>
          <w:szCs w:val="28"/>
          <w:lang w:eastAsia="zh-CN"/>
        </w:rPr>
        <w:t>：</w:t>
      </w:r>
    </w:p>
    <w:p w14:paraId="4F0AA1EB">
      <w:pPr>
        <w:ind w:left="420" w:leftChars="200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-4"/>
          <w:sz w:val="28"/>
          <w:szCs w:val="28"/>
          <w:lang w:eastAsia="zh-CN"/>
        </w:rPr>
        <w:t>电话：</w:t>
      </w:r>
      <w:r>
        <w:rPr>
          <w:rFonts w:ascii="宋体" w:hAnsi="宋体" w:eastAsia="宋体" w:cs="Times New Roman"/>
          <w:b/>
          <w:bCs/>
          <w:spacing w:val="-4"/>
          <w:sz w:val="28"/>
          <w:szCs w:val="28"/>
          <w:lang w:eastAsia="zh-CN"/>
        </w:rPr>
        <w:t>010-</w:t>
      </w:r>
      <w:r>
        <w:rPr>
          <w:rFonts w:ascii="宋体" w:hAnsi="宋体" w:eastAsia="宋体" w:cs="仿宋"/>
          <w:b/>
          <w:bCs/>
          <w:spacing w:val="3"/>
          <w:sz w:val="28"/>
          <w:szCs w:val="28"/>
          <w:lang w:eastAsia="zh-CN"/>
        </w:rPr>
        <w:t>56313400</w:t>
      </w:r>
    </w:p>
    <w:p w14:paraId="65F2A2E3">
      <w:pPr>
        <w:ind w:left="420" w:leftChars="20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仿宋"/>
          <w:b/>
          <w:bCs/>
          <w:spacing w:val="-2"/>
          <w:sz w:val="28"/>
          <w:szCs w:val="28"/>
        </w:rPr>
        <w:t>邮箱：</w:t>
      </w:r>
      <w:r>
        <w:fldChar w:fldCharType="begin"/>
      </w:r>
      <w:r>
        <w:instrText xml:space="preserve"> HYPERLINK "mailto:ccscbj_jc@c.ccs.org.cn" </w:instrText>
      </w:r>
      <w:r>
        <w:fldChar w:fldCharType="separate"/>
      </w:r>
      <w:r>
        <w:rPr>
          <w:rFonts w:ascii="宋体" w:hAnsi="宋体" w:eastAsia="宋体" w:cs="Times New Roman"/>
          <w:b/>
          <w:bCs/>
          <w:spacing w:val="-2"/>
          <w:sz w:val="28"/>
          <w:szCs w:val="28"/>
        </w:rPr>
        <w:t>ccscbj_jc@c.ccs.org.cn</w:t>
      </w:r>
      <w:r>
        <w:rPr>
          <w:rFonts w:ascii="宋体" w:hAnsi="宋体" w:eastAsia="宋体" w:cs="Times New Roman"/>
          <w:b/>
          <w:bCs/>
          <w:spacing w:val="-2"/>
          <w:sz w:val="28"/>
          <w:szCs w:val="28"/>
        </w:rPr>
        <w:fldChar w:fldCharType="end"/>
      </w:r>
      <w:r>
        <w:rPr>
          <w:rFonts w:ascii="宋体" w:hAnsi="宋体" w:eastAsia="宋体" w:cs="仿宋"/>
          <w:b/>
          <w:bCs/>
          <w:spacing w:val="-5"/>
          <w:sz w:val="28"/>
          <w:szCs w:val="28"/>
        </w:rPr>
        <w:t>网址：</w:t>
      </w:r>
      <w:r>
        <w:fldChar w:fldCharType="begin"/>
      </w:r>
      <w:r>
        <w:instrText xml:space="preserve"> HYPERLINK "http://www.ccs-c.com/" </w:instrText>
      </w:r>
      <w:r>
        <w:fldChar w:fldCharType="separate"/>
      </w:r>
      <w:r>
        <w:rPr>
          <w:rFonts w:ascii="宋体" w:hAnsi="宋体" w:eastAsia="宋体" w:cs="Times New Roman"/>
          <w:b/>
          <w:bCs/>
          <w:spacing w:val="-5"/>
          <w:sz w:val="28"/>
          <w:szCs w:val="28"/>
        </w:rPr>
        <w:t>www.ccs-c.com</w:t>
      </w:r>
      <w:r>
        <w:rPr>
          <w:rFonts w:ascii="宋体" w:hAnsi="宋体" w:eastAsia="宋体" w:cs="Times New Roman"/>
          <w:b/>
          <w:bCs/>
          <w:spacing w:val="-5"/>
          <w:sz w:val="28"/>
          <w:szCs w:val="28"/>
        </w:rPr>
        <w:fldChar w:fldCharType="end"/>
      </w:r>
    </w:p>
    <w:p w14:paraId="285FDB99">
      <w:pPr>
        <w:ind w:left="420" w:leftChars="200"/>
        <w:rPr>
          <w:rFonts w:hint="eastAsia" w:ascii="宋体" w:hAnsi="宋体" w:eastAsia="宋体" w:cs="仿宋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-5"/>
          <w:sz w:val="28"/>
          <w:szCs w:val="28"/>
          <w:lang w:eastAsia="zh-CN"/>
        </w:rPr>
        <w:t>地址：</w:t>
      </w:r>
      <w:r>
        <w:rPr>
          <w:rFonts w:ascii="宋体" w:hAnsi="宋体" w:eastAsia="宋体" w:cs="仿宋"/>
          <w:b/>
          <w:bCs/>
          <w:spacing w:val="3"/>
          <w:sz w:val="28"/>
          <w:szCs w:val="28"/>
          <w:lang w:eastAsia="zh-CN"/>
        </w:rPr>
        <w:t>北京市东城区东黄城根南街</w:t>
      </w:r>
      <w:r>
        <w:rPr>
          <w:rFonts w:ascii="宋体" w:hAnsi="宋体" w:eastAsia="宋体" w:cs="Times New Roman"/>
          <w:b/>
          <w:bCs/>
          <w:spacing w:val="-5"/>
          <w:sz w:val="28"/>
          <w:szCs w:val="28"/>
          <w:lang w:eastAsia="zh-CN"/>
        </w:rPr>
        <w:t>40</w:t>
      </w:r>
      <w:r>
        <w:rPr>
          <w:rFonts w:ascii="宋体" w:hAnsi="宋体" w:eastAsia="宋体" w:cs="仿宋"/>
          <w:b/>
          <w:bCs/>
          <w:spacing w:val="-5"/>
          <w:sz w:val="28"/>
          <w:szCs w:val="28"/>
          <w:lang w:eastAsia="zh-CN"/>
        </w:rPr>
        <w:t>号</w:t>
      </w:r>
    </w:p>
    <w:p w14:paraId="00783D19">
      <w:pPr>
        <w:ind w:left="420" w:leftChars="200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ascii="宋体" w:hAnsi="宋体" w:eastAsia="宋体" w:cs="仿宋"/>
          <w:b/>
          <w:bCs/>
          <w:spacing w:val="-5"/>
          <w:sz w:val="28"/>
          <w:szCs w:val="28"/>
          <w:lang w:eastAsia="zh-CN"/>
        </w:rPr>
        <w:t>邮编：</w:t>
      </w:r>
      <w:r>
        <w:rPr>
          <w:rFonts w:ascii="宋体" w:hAnsi="宋体" w:eastAsia="宋体" w:cs="Times New Roman"/>
          <w:b/>
          <w:bCs/>
          <w:spacing w:val="-5"/>
          <w:sz w:val="28"/>
          <w:szCs w:val="28"/>
          <w:lang w:eastAsia="zh-CN"/>
        </w:rPr>
        <w:t>100006</w:t>
      </w:r>
    </w:p>
    <w:p w14:paraId="1FCCAA9F">
      <w:pPr>
        <w:spacing w:line="424" w:lineRule="auto"/>
        <w:rPr>
          <w:rFonts w:hint="eastAsia" w:ascii="宋体" w:hAnsi="宋体" w:eastAsia="宋体" w:cs="Times New Roman"/>
          <w:sz w:val="28"/>
          <w:szCs w:val="28"/>
          <w:lang w:eastAsia="zh-CN"/>
        </w:rPr>
        <w:sectPr>
          <w:headerReference r:id="rId4" w:type="default"/>
          <w:footerReference r:id="rId5" w:type="default"/>
          <w:pgSz w:w="11907" w:h="16841"/>
          <w:pgMar w:top="1210" w:right="1272" w:bottom="1259" w:left="1331" w:header="652" w:footer="1008" w:gutter="0"/>
          <w:cols w:space="720" w:num="1"/>
        </w:sectPr>
      </w:pPr>
    </w:p>
    <w:p w14:paraId="09BA54A2">
      <w:pPr>
        <w:spacing w:before="301" w:line="221" w:lineRule="auto"/>
        <w:jc w:val="center"/>
        <w:rPr>
          <w:rFonts w:hint="eastAsia" w:ascii="宋体" w:hAnsi="宋体" w:eastAsia="宋体" w:cs="宋体"/>
          <w:b/>
          <w:bCs/>
          <w:spacing w:val="-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lang w:eastAsia="zh-CN"/>
        </w:rPr>
        <w:t>功率曲线测试方案</w:t>
      </w:r>
    </w:p>
    <w:p w14:paraId="4C4D72AD">
      <w:pPr>
        <w:spacing w:before="301" w:line="221" w:lineRule="auto"/>
        <w:ind w:left="2565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1"/>
          <w:sz w:val="28"/>
          <w:szCs w:val="28"/>
          <w:lang w:eastAsia="zh-CN"/>
        </w:rPr>
        <w:t>工作控制号：</w:t>
      </w:r>
      <w:r>
        <w:rPr>
          <w:rFonts w:ascii="宋体" w:hAnsi="宋体" w:eastAsia="宋体" w:cs="Times New Roman"/>
          <w:spacing w:val="-1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宋体" w:hAnsi="宋体" w:eastAsia="宋体" w:cs="Times New Roman"/>
          <w:spacing w:val="-1"/>
          <w:sz w:val="28"/>
          <w:szCs w:val="28"/>
          <w:u w:val="single"/>
          <w:lang w:eastAsia="zh-CN"/>
        </w:rPr>
        <w:t>/</w:t>
      </w:r>
      <w:r>
        <w:rPr>
          <w:rFonts w:ascii="宋体" w:hAnsi="宋体" w:eastAsia="宋体" w:cs="Times New Roman"/>
          <w:spacing w:val="1"/>
          <w:sz w:val="28"/>
          <w:szCs w:val="28"/>
          <w:u w:val="single"/>
          <w:lang w:eastAsia="zh-CN"/>
        </w:rPr>
        <w:t xml:space="preserve">    </w:t>
      </w:r>
    </w:p>
    <w:p w14:paraId="5235324C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3"/>
          <w:sz w:val="24"/>
          <w:szCs w:val="24"/>
          <w:lang w:eastAsia="zh-CN"/>
        </w:rPr>
        <w:t>前言</w:t>
      </w:r>
    </w:p>
    <w:p w14:paraId="5DD76EDD">
      <w:pPr>
        <w:spacing w:after="0" w:line="360" w:lineRule="auto"/>
        <w:ind w:firstLine="476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本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方案适用于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风电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机组功率曲线测试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工作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。</w:t>
      </w:r>
    </w:p>
    <w:p w14:paraId="2CC50BA6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  <w:lang w:eastAsia="zh-CN"/>
        </w:rPr>
        <w:t>目的</w:t>
      </w:r>
    </w:p>
    <w:p w14:paraId="1E5CA058">
      <w:pPr>
        <w:spacing w:after="0" w:line="360" w:lineRule="auto"/>
        <w:ind w:firstLine="468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根据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相关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标准，结合实际情况和客户要求，对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Times New Roman"/>
          <w:spacing w:val="-3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台机组进行功率曲线测试工作。</w:t>
      </w:r>
    </w:p>
    <w:p w14:paraId="62801CEB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  <w:lang w:eastAsia="zh-CN"/>
        </w:rPr>
        <w:t>引用标准及文件清单</w:t>
      </w:r>
    </w:p>
    <w:p w14:paraId="67E2521D">
      <w:pPr>
        <w:pStyle w:val="13"/>
        <w:numPr>
          <w:ilvl w:val="0"/>
          <w:numId w:val="3"/>
        </w:numPr>
        <w:spacing w:after="0" w:line="360" w:lineRule="auto"/>
        <w:ind w:firstLineChars="0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IEC61400-12-1-2017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Wind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energy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generation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systems–Part12-1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Power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performance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measurements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of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electricity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producing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wind turbines</w:t>
      </w:r>
    </w:p>
    <w:p w14:paraId="70750E34">
      <w:pPr>
        <w:pStyle w:val="13"/>
        <w:numPr>
          <w:ilvl w:val="0"/>
          <w:numId w:val="3"/>
        </w:numPr>
        <w:spacing w:after="0" w:line="360" w:lineRule="auto"/>
        <w:ind w:firstLineChars="0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GB/T20319-2017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 xml:space="preserve"> 《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风力发电机组验收规范》</w:t>
      </w:r>
    </w:p>
    <w:p w14:paraId="55AEE1C4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6"/>
          <w:sz w:val="24"/>
          <w:szCs w:val="24"/>
          <w:lang w:eastAsia="zh-CN"/>
        </w:rPr>
        <w:t>测试设备</w:t>
      </w:r>
    </w:p>
    <w:p w14:paraId="3118063A">
      <w:pPr>
        <w:spacing w:after="0" w:line="360" w:lineRule="auto"/>
        <w:ind w:firstLine="476" w:firstLineChars="200"/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测试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工作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均使用行业一流的测试设备完成，主要设备说明如下：</w:t>
      </w:r>
    </w:p>
    <w:p w14:paraId="01B3B9BD">
      <w:pPr>
        <w:pStyle w:val="2"/>
        <w:keepNext/>
        <w:jc w:val="center"/>
        <w:rPr>
          <w:rFonts w:hint="eastAsia"/>
        </w:rPr>
      </w:pPr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1</w:t>
      </w:r>
      <w:r>
        <w:fldChar w:fldCharType="end"/>
      </w:r>
      <w:r>
        <w:rPr>
          <w:rFonts w:hint="eastAsia"/>
          <w:lang w:eastAsia="zh-CN"/>
        </w:rPr>
        <w:t xml:space="preserve"> 主要设备参数</w:t>
      </w:r>
    </w:p>
    <w:tbl>
      <w:tblPr>
        <w:tblStyle w:val="7"/>
        <w:tblW w:w="9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4797"/>
        <w:gridCol w:w="1244"/>
        <w:gridCol w:w="736"/>
      </w:tblGrid>
      <w:tr w14:paraId="1EBD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vAlign w:val="center"/>
          </w:tcPr>
          <w:p w14:paraId="66E932E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设备名称</w:t>
            </w:r>
          </w:p>
        </w:tc>
        <w:tc>
          <w:tcPr>
            <w:tcW w:w="0" w:type="auto"/>
            <w:vAlign w:val="center"/>
          </w:tcPr>
          <w:p w14:paraId="1B524D9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型号</w:t>
            </w:r>
          </w:p>
        </w:tc>
        <w:tc>
          <w:tcPr>
            <w:tcW w:w="0" w:type="auto"/>
            <w:vAlign w:val="center"/>
          </w:tcPr>
          <w:p w14:paraId="3F78696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精度等级</w:t>
            </w:r>
          </w:p>
        </w:tc>
        <w:tc>
          <w:tcPr>
            <w:tcW w:w="0" w:type="auto"/>
            <w:vAlign w:val="center"/>
          </w:tcPr>
          <w:p w14:paraId="096FBD48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</w:p>
        </w:tc>
      </w:tr>
      <w:tr w14:paraId="3438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vAlign w:val="center"/>
          </w:tcPr>
          <w:p w14:paraId="5812D6F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数据采集器</w:t>
            </w:r>
          </w:p>
        </w:tc>
        <w:tc>
          <w:tcPr>
            <w:tcW w:w="0" w:type="auto"/>
            <w:vAlign w:val="center"/>
          </w:tcPr>
          <w:p w14:paraId="65CCF3F4">
            <w:pPr>
              <w:spacing w:after="0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CR1000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X(E)</w:t>
            </w:r>
          </w:p>
        </w:tc>
        <w:tc>
          <w:tcPr>
            <w:tcW w:w="0" w:type="auto"/>
            <w:vAlign w:val="center"/>
          </w:tcPr>
          <w:p w14:paraId="02B7C30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</w:tcPr>
          <w:p w14:paraId="5EC12F17">
            <w:pPr>
              <w:spacing w:after="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</w:tr>
      <w:tr w14:paraId="427D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vAlign w:val="center"/>
          </w:tcPr>
          <w:p w14:paraId="768E317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电流互感器</w:t>
            </w:r>
          </w:p>
        </w:tc>
        <w:tc>
          <w:tcPr>
            <w:tcW w:w="0" w:type="auto"/>
            <w:vAlign w:val="center"/>
          </w:tcPr>
          <w:p w14:paraId="480C05C2">
            <w:pPr>
              <w:spacing w:after="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Acrel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 xml:space="preserve"> AKH-0.66/K 4000/5</w:t>
            </w:r>
          </w:p>
        </w:tc>
        <w:tc>
          <w:tcPr>
            <w:tcW w:w="0" w:type="auto"/>
            <w:vAlign w:val="center"/>
          </w:tcPr>
          <w:p w14:paraId="1045BC6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5E5A1FA6">
            <w:pPr>
              <w:spacing w:after="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</w:tr>
      <w:tr w14:paraId="51D8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vAlign w:val="center"/>
          </w:tcPr>
          <w:p w14:paraId="51A073C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功率变送器</w:t>
            </w:r>
          </w:p>
        </w:tc>
        <w:tc>
          <w:tcPr>
            <w:tcW w:w="0" w:type="auto"/>
            <w:vAlign w:val="center"/>
          </w:tcPr>
          <w:p w14:paraId="13855C67">
            <w:pPr>
              <w:spacing w:after="0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Acrel-AMC96L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/GDDX-4YG-1140V-5A-ZD3A3</w:t>
            </w:r>
          </w:p>
        </w:tc>
        <w:tc>
          <w:tcPr>
            <w:tcW w:w="0" w:type="auto"/>
            <w:vAlign w:val="center"/>
          </w:tcPr>
          <w:p w14:paraId="7E36921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</w:tcPr>
          <w:p w14:paraId="0E90534E">
            <w:pPr>
              <w:spacing w:after="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</w:tr>
      <w:tr w14:paraId="7C542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0" w:type="auto"/>
            <w:vAlign w:val="center"/>
          </w:tcPr>
          <w:p w14:paraId="7D7446A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测风雷达(带温湿压)</w:t>
            </w:r>
          </w:p>
        </w:tc>
        <w:tc>
          <w:tcPr>
            <w:tcW w:w="0" w:type="auto"/>
            <w:vAlign w:val="center"/>
          </w:tcPr>
          <w:p w14:paraId="70C7B169">
            <w:pPr>
              <w:spacing w:after="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Moas-B300/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HD4-400</w:t>
            </w:r>
          </w:p>
        </w:tc>
        <w:tc>
          <w:tcPr>
            <w:tcW w:w="0" w:type="auto"/>
            <w:vAlign w:val="center"/>
          </w:tcPr>
          <w:p w14:paraId="37EDF84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0" w:type="auto"/>
            <w:vAlign w:val="center"/>
          </w:tcPr>
          <w:p w14:paraId="3F5A0A91">
            <w:pPr>
              <w:spacing w:after="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</w:tr>
    </w:tbl>
    <w:p w14:paraId="43CAEE00">
      <w:pPr>
        <w:spacing w:before="120" w:beforeLines="50"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设备精度等级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符合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IEC61400-12-1</w:t>
      </w:r>
      <w:r>
        <w:rPr>
          <w:rFonts w:hint="eastAsia" w:ascii="宋体" w:hAnsi="宋体" w:eastAsia="宋体" w:cs="Times New Roman"/>
          <w:spacing w:val="-2"/>
          <w:sz w:val="24"/>
          <w:szCs w:val="24"/>
          <w:lang w:eastAsia="zh-CN"/>
        </w:rPr>
        <w:t>：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2017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的要求，使用</w:t>
      </w:r>
      <w:r>
        <w:rPr>
          <w:rFonts w:hint="eastAsia" w:ascii="宋体" w:hAnsi="宋体" w:eastAsia="宋体" w:cs="Times New Roman"/>
          <w:spacing w:val="-2"/>
          <w:sz w:val="24"/>
          <w:szCs w:val="24"/>
          <w:lang w:eastAsia="zh-CN"/>
        </w:rPr>
        <w:t>CR1000X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采集系统作为数采系统，可实</w:t>
      </w:r>
      <w:r>
        <w:rPr>
          <w:rFonts w:ascii="宋体" w:hAnsi="宋体" w:eastAsia="宋体" w:cs="宋体"/>
          <w:spacing w:val="1"/>
          <w:sz w:val="24"/>
          <w:szCs w:val="24"/>
          <w:lang w:eastAsia="zh-CN"/>
        </w:rPr>
        <w:t>现远程数据下载及监控功能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。</w:t>
      </w:r>
    </w:p>
    <w:p w14:paraId="5B193F81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  <w:lang w:eastAsia="zh-CN"/>
        </w:rPr>
        <w:t>测试项目描述：</w:t>
      </w:r>
    </w:p>
    <w:p w14:paraId="72A618F8">
      <w:pPr>
        <w:spacing w:before="100" w:beforeAutospacing="1" w:after="100" w:afterAutospacing="1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1" w:name="_GoBack"/>
      <w:bookmarkEnd w:id="1"/>
      <w:r>
        <w:rPr>
          <w:rFonts w:ascii="宋体" w:hAnsi="宋体" w:eastAsia="宋体" w:cs="Times New Roman"/>
          <w:b/>
          <w:bCs/>
          <w:spacing w:val="-3"/>
          <w:sz w:val="24"/>
          <w:szCs w:val="24"/>
          <w:lang w:eastAsia="zh-CN"/>
        </w:rPr>
        <w:t>5.1</w:t>
      </w:r>
      <w:r>
        <w:rPr>
          <w:rFonts w:hint="eastAsia" w:ascii="宋体" w:hAnsi="宋体" w:eastAsia="宋体" w:cs="Times New Roman"/>
          <w:b/>
          <w:bCs/>
          <w:spacing w:val="-3"/>
          <w:sz w:val="24"/>
          <w:szCs w:val="24"/>
          <w:lang w:eastAsia="zh-CN"/>
        </w:rPr>
        <w:t>．</w:t>
      </w:r>
      <w:r>
        <w:rPr>
          <w:rFonts w:ascii="宋体" w:hAnsi="宋体" w:eastAsia="宋体" w:cs="宋体"/>
          <w:b/>
          <w:bCs/>
          <w:spacing w:val="-2"/>
          <w:sz w:val="24"/>
          <w:szCs w:val="24"/>
          <w:lang w:eastAsia="zh-CN"/>
        </w:rPr>
        <w:t>场地评估服务</w:t>
      </w:r>
    </w:p>
    <w:p w14:paraId="6918CB84">
      <w:pPr>
        <w:spacing w:before="100" w:beforeAutospacing="1" w:after="100" w:afterAutospacing="1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pacing w:val="-1"/>
          <w:sz w:val="24"/>
          <w:szCs w:val="24"/>
          <w:lang w:eastAsia="zh-CN"/>
        </w:rPr>
        <w:t>5.1.1.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服务内容及成果描述</w:t>
      </w:r>
    </w:p>
    <w:p w14:paraId="774476AB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我方将参照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IEC61400-12-1</w:t>
      </w:r>
      <w:r>
        <w:rPr>
          <w:rFonts w:hint="eastAsia" w:ascii="宋体" w:hAnsi="宋体" w:eastAsia="宋体" w:cs="Times New Roman"/>
          <w:spacing w:val="-2"/>
          <w:sz w:val="24"/>
          <w:szCs w:val="24"/>
          <w:lang w:eastAsia="zh-CN"/>
        </w:rPr>
        <w:t>：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2017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附录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A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及附录</w:t>
      </w:r>
      <w:r>
        <w:rPr>
          <w:rFonts w:ascii="宋体" w:hAnsi="宋体" w:eastAsia="宋体" w:cs="Times New Roman"/>
          <w:spacing w:val="-2"/>
          <w:sz w:val="24"/>
          <w:szCs w:val="24"/>
          <w:lang w:eastAsia="zh-CN"/>
        </w:rPr>
        <w:t>B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进行测试场地评估工作。完成场地评估工作需客户提供该风场的可行性研究报告风资源部分、风场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机型排布及机位坐标、高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程信息等。</w:t>
      </w:r>
    </w:p>
    <w:p w14:paraId="188977A8">
      <w:pPr>
        <w:spacing w:after="0" w:line="360" w:lineRule="auto"/>
        <w:ind w:firstLine="46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场地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评估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工作具体为：对客户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风场中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目标测试机组，通过可行性研究报告风资源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信息及风场资料，结合软件应用及现场勘探，计算目标测试机组测量扇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区，确定合适月份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开展测试工作，判断测量扇区和主风向在测试期内能否足够重叠。</w:t>
      </w:r>
    </w:p>
    <w:p w14:paraId="6CC0337B">
      <w:pPr>
        <w:spacing w:after="0" w:line="360" w:lineRule="auto"/>
        <w:ind w:firstLine="468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通过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场地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评估工作，可得到测量扇区、是否为标准地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形等信息。如果风场地形为复杂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地形，还需进行场地标定工作。</w:t>
      </w:r>
    </w:p>
    <w:p w14:paraId="2483F284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场地评估说明中提供以下信息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：</w:t>
      </w:r>
    </w:p>
    <w:p w14:paraId="74FB7D1A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•测试场地障碍物评估及有效测量扇区计算结果</w:t>
      </w:r>
    </w:p>
    <w:p w14:paraId="6EFB55C3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•地形评估计算结果</w:t>
      </w:r>
    </w:p>
    <w:p w14:paraId="3B161BD7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•场地评估结论</w:t>
      </w:r>
    </w:p>
    <w:p w14:paraId="5A36E6A3">
      <w:pPr>
        <w:spacing w:before="100" w:beforeAutospacing="1" w:after="100" w:afterAutospacing="1"/>
        <w:rPr>
          <w:rFonts w:hint="eastAsia" w:ascii="宋体" w:hAnsi="宋体" w:eastAsia="宋体" w:cs="宋体"/>
          <w:spacing w:val="-2"/>
          <w:sz w:val="24"/>
          <w:szCs w:val="24"/>
          <w:highlight w:val="yellow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5.1.2.客户协助事项及说明</w:t>
      </w:r>
    </w:p>
    <w:p w14:paraId="073AEBC3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现场踏勘前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，客户需提交的技术资料及信息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有：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8797"/>
      </w:tblGrid>
      <w:tr w14:paraId="1AA3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7A734492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8797" w:type="dxa"/>
            <w:vAlign w:val="center"/>
          </w:tcPr>
          <w:p w14:paraId="331A7FBD">
            <w:pPr>
              <w:spacing w:after="0" w:line="360" w:lineRule="auto"/>
              <w:ind w:firstLine="472" w:firstLineChars="200"/>
              <w:jc w:val="center"/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测试所需资料</w:t>
            </w:r>
          </w:p>
        </w:tc>
      </w:tr>
      <w:tr w14:paraId="3382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0433C9F0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797" w:type="dxa"/>
            <w:vAlign w:val="center"/>
          </w:tcPr>
          <w:p w14:paraId="51D6AB9E">
            <w:pPr>
              <w:spacing w:after="0" w:line="360" w:lineRule="auto"/>
              <w:ind w:firstLine="472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待测机组基本信息（额定功率、风轮直径、轮毂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高度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eastAsia="zh-CN"/>
              </w:rPr>
              <w:t>、变流器输出电压等级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）</w:t>
            </w:r>
          </w:p>
        </w:tc>
      </w:tr>
      <w:tr w14:paraId="2599B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3610A541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797" w:type="dxa"/>
            <w:vAlign w:val="center"/>
          </w:tcPr>
          <w:p w14:paraId="37A08EF9">
            <w:pPr>
              <w:spacing w:after="0" w:line="360" w:lineRule="auto"/>
              <w:ind w:firstLine="468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风场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机型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排布位置及各机位坐标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eastAsia="zh-CN"/>
              </w:rPr>
              <w:t>（如KMZ文件）</w:t>
            </w:r>
          </w:p>
        </w:tc>
      </w:tr>
      <w:tr w14:paraId="0A73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14175071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797" w:type="dxa"/>
            <w:vAlign w:val="center"/>
          </w:tcPr>
          <w:p w14:paraId="5D75C781">
            <w:pPr>
              <w:spacing w:after="0" w:line="360" w:lineRule="auto"/>
              <w:ind w:firstLine="456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:lang w:eastAsia="zh-CN"/>
              </w:rPr>
              <w:t>风场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高程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  <w:lang w:eastAsia="zh-CN"/>
              </w:rPr>
              <w:t>信息</w:t>
            </w:r>
          </w:p>
        </w:tc>
      </w:tr>
      <w:tr w14:paraId="448AE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0EC83542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797" w:type="dxa"/>
            <w:vAlign w:val="center"/>
          </w:tcPr>
          <w:p w14:paraId="31AFE903">
            <w:pPr>
              <w:spacing w:after="0" w:line="360" w:lineRule="auto"/>
              <w:ind w:firstLine="468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风场内较大人工建筑等障碍物情况（如有）</w:t>
            </w:r>
          </w:p>
        </w:tc>
      </w:tr>
      <w:tr w14:paraId="52549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21088DCA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797" w:type="dxa"/>
            <w:vAlign w:val="center"/>
          </w:tcPr>
          <w:p w14:paraId="603452AD">
            <w:pPr>
              <w:spacing w:after="0" w:line="360" w:lineRule="auto"/>
              <w:ind w:firstLine="468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风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电场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可行性研究报告风资源部分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eastAsia="zh-CN"/>
              </w:rPr>
              <w:t>或微观选址报告</w:t>
            </w:r>
          </w:p>
        </w:tc>
      </w:tr>
      <w:tr w14:paraId="4BB10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vAlign w:val="center"/>
          </w:tcPr>
          <w:p w14:paraId="133C4AB9">
            <w:pPr>
              <w:spacing w:after="0" w:line="360" w:lineRule="auto"/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797" w:type="dxa"/>
            <w:vAlign w:val="center"/>
          </w:tcPr>
          <w:p w14:paraId="0B0B4DB6">
            <w:pPr>
              <w:spacing w:after="0" w:line="360" w:lineRule="auto"/>
              <w:ind w:firstLine="468" w:firstLineChars="200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:lang w:eastAsia="zh-CN"/>
              </w:rPr>
              <w:t>风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  <w:lang w:eastAsia="zh-CN"/>
              </w:rPr>
              <w:t>电场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lang w:eastAsia="zh-CN"/>
              </w:rPr>
              <w:t>机组主机合同（含技术协议）</w:t>
            </w:r>
          </w:p>
        </w:tc>
      </w:tr>
    </w:tbl>
    <w:p w14:paraId="60CA26B2">
      <w:pPr>
        <w:spacing w:after="0" w:line="360" w:lineRule="auto"/>
        <w:ind w:firstLine="464" w:firstLineChars="200"/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</w:pPr>
    </w:p>
    <w:p w14:paraId="463B6A62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现场踏勘时需至少一名客户方人员陪同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。</w:t>
      </w:r>
    </w:p>
    <w:p w14:paraId="706D04C5">
      <w:pPr>
        <w:spacing w:before="100" w:beforeAutospacing="1" w:after="100" w:afterAutospacing="1"/>
        <w:outlineLvl w:val="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pacing w:val="-2"/>
          <w:sz w:val="24"/>
          <w:szCs w:val="24"/>
          <w:lang w:eastAsia="zh-CN"/>
        </w:rPr>
        <w:t>5.2</w:t>
      </w:r>
      <w:r>
        <w:rPr>
          <w:rFonts w:hint="eastAsia" w:ascii="宋体" w:hAnsi="宋体" w:eastAsia="宋体" w:cs="Times New Roman"/>
          <w:b/>
          <w:bCs/>
          <w:spacing w:val="-2"/>
          <w:sz w:val="24"/>
          <w:szCs w:val="24"/>
          <w:lang w:eastAsia="zh-CN"/>
        </w:rPr>
        <w:t>．</w:t>
      </w:r>
      <w:r>
        <w:rPr>
          <w:rFonts w:ascii="宋体" w:hAnsi="宋体" w:eastAsia="宋体" w:cs="宋体"/>
          <w:b/>
          <w:bCs/>
          <w:spacing w:val="-2"/>
          <w:sz w:val="24"/>
          <w:szCs w:val="24"/>
          <w:lang w:eastAsia="zh-CN"/>
        </w:rPr>
        <w:t>功率曲线测试服务</w:t>
      </w:r>
    </w:p>
    <w:p w14:paraId="215CEB3C">
      <w:pPr>
        <w:spacing w:before="100" w:beforeAutospacing="1" w:after="100" w:afterAutospacing="1"/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5.2.1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.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服务内容及成果描述</w:t>
      </w:r>
    </w:p>
    <w:p w14:paraId="04B92568">
      <w:pPr>
        <w:spacing w:after="0" w:line="360" w:lineRule="auto"/>
        <w:ind w:firstLine="476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我方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按照</w:t>
      </w:r>
      <w:r>
        <w:rPr>
          <w:rFonts w:ascii="宋体" w:hAnsi="宋体" w:eastAsia="宋体" w:cs="Times New Roman"/>
          <w:spacing w:val="-1"/>
          <w:sz w:val="24"/>
          <w:szCs w:val="24"/>
          <w:lang w:eastAsia="zh-CN"/>
        </w:rPr>
        <w:t>IEC61400-12-1</w:t>
      </w:r>
      <w:r>
        <w:rPr>
          <w:rFonts w:hint="eastAsia" w:ascii="宋体" w:hAnsi="宋体" w:eastAsia="宋体" w:cs="Times New Roman"/>
          <w:spacing w:val="-1"/>
          <w:sz w:val="24"/>
          <w:szCs w:val="24"/>
          <w:lang w:eastAsia="zh-CN"/>
        </w:rPr>
        <w:t>：</w:t>
      </w:r>
      <w:r>
        <w:rPr>
          <w:rFonts w:ascii="宋体" w:hAnsi="宋体" w:eastAsia="宋体" w:cs="Times New Roman"/>
          <w:spacing w:val="-1"/>
          <w:sz w:val="24"/>
          <w:szCs w:val="24"/>
          <w:lang w:eastAsia="zh-CN"/>
        </w:rPr>
        <w:t>2017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>开展风电机组功率曲线测试。</w:t>
      </w:r>
    </w:p>
    <w:p w14:paraId="4DDCBAA2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我方使用功率变送器测量净电功率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风速、风向以及温湿压数据由测风雷达采集。测风雷达安装在大约距离被测机组主风向2.5D的位置。</w:t>
      </w:r>
    </w:p>
    <w:p w14:paraId="27F0A701">
      <w:pPr>
        <w:spacing w:after="0" w:line="360" w:lineRule="auto"/>
        <w:ind w:firstLine="46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对于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测试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将采用</w:t>
      </w:r>
      <w:r>
        <w:rPr>
          <w:rFonts w:ascii="宋体" w:hAnsi="宋体" w:eastAsia="宋体" w:cs="Times New Roman"/>
          <w:spacing w:val="-4"/>
          <w:sz w:val="24"/>
          <w:szCs w:val="24"/>
          <w:lang w:eastAsia="zh-CN"/>
        </w:rPr>
        <w:t>1Hz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采样频率，采集的数据将以原始数据和</w:t>
      </w:r>
      <w:r>
        <w:rPr>
          <w:rFonts w:ascii="宋体" w:hAnsi="宋体" w:eastAsia="宋体" w:cs="Times New Roman"/>
          <w:spacing w:val="-4"/>
          <w:sz w:val="24"/>
          <w:szCs w:val="24"/>
          <w:lang w:eastAsia="zh-CN"/>
        </w:rPr>
        <w:t>10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分钟平均数据</w:t>
      </w:r>
      <w:r>
        <w:rPr>
          <w:rFonts w:ascii="宋体" w:hAnsi="宋体" w:eastAsia="宋体" w:cs="宋体"/>
          <w:spacing w:val="-8"/>
          <w:sz w:val="24"/>
          <w:szCs w:val="24"/>
          <w:lang w:eastAsia="zh-CN"/>
        </w:rPr>
        <w:t>的形式存储在采集系统中，并通过网络定期发送。我方将对采集</w:t>
      </w:r>
      <w:r>
        <w:rPr>
          <w:rFonts w:hint="eastAsia" w:ascii="宋体" w:hAnsi="宋体" w:eastAsia="宋体" w:cs="宋体"/>
          <w:spacing w:val="-8"/>
          <w:sz w:val="24"/>
          <w:szCs w:val="24"/>
          <w:lang w:val="en-US" w:eastAsia="zh-CN"/>
        </w:rPr>
        <w:t>系统定期</w:t>
      </w:r>
      <w:r>
        <w:rPr>
          <w:rFonts w:ascii="宋体" w:hAnsi="宋体" w:eastAsia="宋体" w:cs="宋体"/>
          <w:spacing w:val="-8"/>
          <w:sz w:val="24"/>
          <w:szCs w:val="24"/>
          <w:lang w:eastAsia="zh-CN"/>
        </w:rPr>
        <w:t>检查，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如有需要，对</w:t>
      </w:r>
      <w:r>
        <w:rPr>
          <w:rFonts w:hint="eastAsia" w:ascii="宋体" w:hAnsi="宋体" w:eastAsia="宋体" w:cs="宋体"/>
          <w:spacing w:val="-4"/>
          <w:sz w:val="24"/>
          <w:szCs w:val="24"/>
          <w:lang w:val="en-US" w:eastAsia="zh-CN"/>
        </w:rPr>
        <w:t>系统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故障进行处理。</w:t>
      </w:r>
    </w:p>
    <w:p w14:paraId="56439625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功率曲线测试信号通道列表如下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：</w:t>
      </w:r>
    </w:p>
    <w:p w14:paraId="79E3FFE6">
      <w:pPr>
        <w:pStyle w:val="2"/>
        <w:keepNext/>
        <w:jc w:val="center"/>
        <w:rPr>
          <w:rFonts w:hint="eastAsia"/>
        </w:rPr>
      </w:pPr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2</w:t>
      </w:r>
      <w:r>
        <w:fldChar w:fldCharType="end"/>
      </w:r>
      <w:r>
        <w:rPr>
          <w:rFonts w:hint="eastAsia"/>
          <w:lang w:eastAsia="zh-CN"/>
        </w:rPr>
        <w:t xml:space="preserve"> 信号采集</w:t>
      </w:r>
    </w:p>
    <w:tbl>
      <w:tblPr>
        <w:tblStyle w:val="9"/>
        <w:tblW w:w="943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8"/>
        <w:gridCol w:w="1374"/>
        <w:gridCol w:w="2138"/>
        <w:gridCol w:w="2056"/>
        <w:gridCol w:w="1552"/>
        <w:gridCol w:w="1511"/>
      </w:tblGrid>
      <w:tr w14:paraId="50582A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39" w:type="dxa"/>
            <w:gridSpan w:val="6"/>
            <w:vAlign w:val="center"/>
          </w:tcPr>
          <w:p w14:paraId="3ADD216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测风雷达</w:t>
            </w:r>
          </w:p>
        </w:tc>
      </w:tr>
      <w:tr w14:paraId="456A2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6168997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通道</w:t>
            </w:r>
          </w:p>
        </w:tc>
        <w:tc>
          <w:tcPr>
            <w:tcW w:w="1374" w:type="dxa"/>
            <w:vAlign w:val="center"/>
          </w:tcPr>
          <w:p w14:paraId="04D4337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位置</w:t>
            </w:r>
          </w:p>
        </w:tc>
        <w:tc>
          <w:tcPr>
            <w:tcW w:w="2138" w:type="dxa"/>
            <w:vAlign w:val="center"/>
          </w:tcPr>
          <w:p w14:paraId="5BC614E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测试对象</w:t>
            </w:r>
          </w:p>
        </w:tc>
        <w:tc>
          <w:tcPr>
            <w:tcW w:w="2056" w:type="dxa"/>
            <w:vAlign w:val="center"/>
          </w:tcPr>
          <w:p w14:paraId="591D754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传感器</w:t>
            </w:r>
          </w:p>
        </w:tc>
        <w:tc>
          <w:tcPr>
            <w:tcW w:w="1552" w:type="dxa"/>
            <w:vAlign w:val="center"/>
          </w:tcPr>
          <w:p w14:paraId="5A2912F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信号方式</w:t>
            </w:r>
          </w:p>
        </w:tc>
        <w:tc>
          <w:tcPr>
            <w:tcW w:w="1511" w:type="dxa"/>
            <w:vAlign w:val="center"/>
          </w:tcPr>
          <w:p w14:paraId="74C85B7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信号提供</w:t>
            </w:r>
          </w:p>
        </w:tc>
      </w:tr>
      <w:tr w14:paraId="7D792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1537ABB8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374" w:type="dxa"/>
            <w:vAlign w:val="center"/>
          </w:tcPr>
          <w:p w14:paraId="13C35BF5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48AB7CA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H+R </w:t>
            </w:r>
            <w:r>
              <w:rPr>
                <w:rFonts w:ascii="宋体" w:hAnsi="宋体" w:eastAsia="宋体"/>
                <w:sz w:val="24"/>
                <w:szCs w:val="24"/>
              </w:rPr>
              <w:t>高度风速</w:t>
            </w:r>
          </w:p>
        </w:tc>
        <w:tc>
          <w:tcPr>
            <w:tcW w:w="2056" w:type="dxa"/>
            <w:vAlign w:val="center"/>
          </w:tcPr>
          <w:p w14:paraId="75D8EFE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1E791CD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2754DB98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1CC54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2CF923D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374" w:type="dxa"/>
            <w:vAlign w:val="center"/>
          </w:tcPr>
          <w:p w14:paraId="6CE0AC05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02342F8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H+2/3R </w:t>
            </w:r>
            <w:r>
              <w:rPr>
                <w:rFonts w:ascii="宋体" w:hAnsi="宋体" w:eastAsia="宋体"/>
                <w:sz w:val="24"/>
                <w:szCs w:val="24"/>
              </w:rPr>
              <w:t>高度风速</w:t>
            </w:r>
          </w:p>
        </w:tc>
        <w:tc>
          <w:tcPr>
            <w:tcW w:w="2056" w:type="dxa"/>
            <w:vAlign w:val="center"/>
          </w:tcPr>
          <w:p w14:paraId="270F531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11F34A1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3D6D14D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3859C0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57EC88B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14:paraId="2844C93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71E71CF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H </w:t>
            </w:r>
            <w:r>
              <w:rPr>
                <w:rFonts w:ascii="宋体" w:hAnsi="宋体" w:eastAsia="宋体"/>
                <w:sz w:val="24"/>
                <w:szCs w:val="24"/>
              </w:rPr>
              <w:t>高度风速</w:t>
            </w:r>
          </w:p>
        </w:tc>
        <w:tc>
          <w:tcPr>
            <w:tcW w:w="2056" w:type="dxa"/>
            <w:vAlign w:val="center"/>
          </w:tcPr>
          <w:p w14:paraId="4A4E0F9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2FB9A738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0050D72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0541EB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664AA62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374" w:type="dxa"/>
            <w:vAlign w:val="center"/>
          </w:tcPr>
          <w:p w14:paraId="58D40F0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5A51BE4F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H-2/3R </w:t>
            </w:r>
            <w:r>
              <w:rPr>
                <w:rFonts w:ascii="宋体" w:hAnsi="宋体" w:eastAsia="宋体"/>
                <w:sz w:val="24"/>
                <w:szCs w:val="24"/>
              </w:rPr>
              <w:t>高度风速</w:t>
            </w:r>
          </w:p>
        </w:tc>
        <w:tc>
          <w:tcPr>
            <w:tcW w:w="2056" w:type="dxa"/>
            <w:vAlign w:val="center"/>
          </w:tcPr>
          <w:p w14:paraId="0CFEC81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254E3F8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45E88BA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55408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4CFDB7B5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1374" w:type="dxa"/>
            <w:vAlign w:val="center"/>
          </w:tcPr>
          <w:p w14:paraId="3C7D72DF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33AC9FD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H-R </w:t>
            </w:r>
            <w:r>
              <w:rPr>
                <w:rFonts w:ascii="宋体" w:hAnsi="宋体" w:eastAsia="宋体"/>
                <w:sz w:val="24"/>
                <w:szCs w:val="24"/>
              </w:rPr>
              <w:t>高度风速</w:t>
            </w:r>
          </w:p>
        </w:tc>
        <w:tc>
          <w:tcPr>
            <w:tcW w:w="2056" w:type="dxa"/>
            <w:vAlign w:val="center"/>
          </w:tcPr>
          <w:p w14:paraId="007DCCB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75240DE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03364D4F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5A0761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28A453A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1374" w:type="dxa"/>
            <w:vAlign w:val="center"/>
          </w:tcPr>
          <w:p w14:paraId="4328E6CF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132B6A3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轮毂高度风向</w:t>
            </w:r>
          </w:p>
        </w:tc>
        <w:tc>
          <w:tcPr>
            <w:tcW w:w="2056" w:type="dxa"/>
            <w:vAlign w:val="center"/>
          </w:tcPr>
          <w:p w14:paraId="0395AF3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1552" w:type="dxa"/>
            <w:vAlign w:val="center"/>
          </w:tcPr>
          <w:p w14:paraId="206FD3E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7D20451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462DE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684150E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1374" w:type="dxa"/>
            <w:vAlign w:val="center"/>
          </w:tcPr>
          <w:p w14:paraId="2CC9283A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3C18F40A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地面</w:t>
            </w:r>
            <w:r>
              <w:rPr>
                <w:rFonts w:ascii="宋体" w:hAnsi="宋体" w:eastAsia="宋体"/>
                <w:sz w:val="24"/>
                <w:szCs w:val="24"/>
              </w:rPr>
              <w:t>高度温度</w:t>
            </w:r>
          </w:p>
        </w:tc>
        <w:tc>
          <w:tcPr>
            <w:tcW w:w="2056" w:type="dxa"/>
            <w:vAlign w:val="center"/>
          </w:tcPr>
          <w:p w14:paraId="2456FB9A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温度传感器</w:t>
            </w:r>
          </w:p>
        </w:tc>
        <w:tc>
          <w:tcPr>
            <w:tcW w:w="1552" w:type="dxa"/>
            <w:vAlign w:val="center"/>
          </w:tcPr>
          <w:p w14:paraId="37FEFFD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4CAA8E9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7008B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693FE54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1374" w:type="dxa"/>
            <w:vAlign w:val="center"/>
          </w:tcPr>
          <w:p w14:paraId="534AF15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7D1A553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地面</w:t>
            </w:r>
            <w:r>
              <w:rPr>
                <w:rFonts w:ascii="宋体" w:hAnsi="宋体" w:eastAsia="宋体"/>
                <w:sz w:val="24"/>
                <w:szCs w:val="24"/>
              </w:rPr>
              <w:t>高度湿度</w:t>
            </w:r>
          </w:p>
        </w:tc>
        <w:tc>
          <w:tcPr>
            <w:tcW w:w="2056" w:type="dxa"/>
            <w:vAlign w:val="center"/>
          </w:tcPr>
          <w:p w14:paraId="76436C4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湿度传感器</w:t>
            </w:r>
          </w:p>
        </w:tc>
        <w:tc>
          <w:tcPr>
            <w:tcW w:w="1552" w:type="dxa"/>
            <w:vAlign w:val="center"/>
          </w:tcPr>
          <w:p w14:paraId="139CD4A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0296D8D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773CC7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19176A0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1374" w:type="dxa"/>
            <w:vAlign w:val="center"/>
          </w:tcPr>
          <w:p w14:paraId="324A798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测风</w:t>
            </w: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雷达</w:t>
            </w:r>
          </w:p>
        </w:tc>
        <w:tc>
          <w:tcPr>
            <w:tcW w:w="2138" w:type="dxa"/>
            <w:vAlign w:val="center"/>
          </w:tcPr>
          <w:p w14:paraId="6E24659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  <w:lang w:eastAsia="zh-CN"/>
              </w:rPr>
              <w:t>地面</w:t>
            </w:r>
            <w:r>
              <w:rPr>
                <w:rFonts w:ascii="宋体" w:hAnsi="宋体" w:eastAsia="宋体"/>
                <w:sz w:val="24"/>
                <w:szCs w:val="24"/>
              </w:rPr>
              <w:t>高度气压</w:t>
            </w:r>
          </w:p>
        </w:tc>
        <w:tc>
          <w:tcPr>
            <w:tcW w:w="2056" w:type="dxa"/>
            <w:vAlign w:val="center"/>
          </w:tcPr>
          <w:p w14:paraId="0559306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气压传感器</w:t>
            </w:r>
          </w:p>
        </w:tc>
        <w:tc>
          <w:tcPr>
            <w:tcW w:w="1552" w:type="dxa"/>
            <w:vAlign w:val="center"/>
          </w:tcPr>
          <w:p w14:paraId="49A20F2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/</w:t>
            </w:r>
          </w:p>
        </w:tc>
        <w:tc>
          <w:tcPr>
            <w:tcW w:w="1511" w:type="dxa"/>
            <w:vAlign w:val="center"/>
          </w:tcPr>
          <w:p w14:paraId="692CD03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69C16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39" w:type="dxa"/>
            <w:gridSpan w:val="6"/>
            <w:vAlign w:val="center"/>
          </w:tcPr>
          <w:p w14:paraId="71CD3D9B">
            <w:pPr>
              <w:spacing w:after="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备注：H 为塔筒高度，R 为叶轮半径</w:t>
            </w:r>
          </w:p>
        </w:tc>
      </w:tr>
      <w:tr w14:paraId="65169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439" w:type="dxa"/>
            <w:gridSpan w:val="6"/>
            <w:vAlign w:val="center"/>
          </w:tcPr>
          <w:p w14:paraId="3B2A694D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机组</w:t>
            </w:r>
          </w:p>
        </w:tc>
      </w:tr>
      <w:tr w14:paraId="6150B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2E5470A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通道</w:t>
            </w:r>
          </w:p>
        </w:tc>
        <w:tc>
          <w:tcPr>
            <w:tcW w:w="1374" w:type="dxa"/>
            <w:vAlign w:val="center"/>
          </w:tcPr>
          <w:p w14:paraId="78734CC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位置</w:t>
            </w:r>
          </w:p>
        </w:tc>
        <w:tc>
          <w:tcPr>
            <w:tcW w:w="2138" w:type="dxa"/>
            <w:vAlign w:val="center"/>
          </w:tcPr>
          <w:p w14:paraId="7A5637E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测试对象</w:t>
            </w:r>
          </w:p>
        </w:tc>
        <w:tc>
          <w:tcPr>
            <w:tcW w:w="2056" w:type="dxa"/>
            <w:vAlign w:val="center"/>
          </w:tcPr>
          <w:p w14:paraId="58AB744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传感器</w:t>
            </w:r>
          </w:p>
        </w:tc>
        <w:tc>
          <w:tcPr>
            <w:tcW w:w="1552" w:type="dxa"/>
            <w:vAlign w:val="center"/>
          </w:tcPr>
          <w:p w14:paraId="4497CBA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信号方式</w:t>
            </w:r>
          </w:p>
        </w:tc>
        <w:tc>
          <w:tcPr>
            <w:tcW w:w="1511" w:type="dxa"/>
            <w:vAlign w:val="center"/>
          </w:tcPr>
          <w:p w14:paraId="0E6C06E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信号提供</w:t>
            </w:r>
          </w:p>
        </w:tc>
      </w:tr>
      <w:tr w14:paraId="04931A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709630A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374" w:type="dxa"/>
            <w:vAlign w:val="center"/>
          </w:tcPr>
          <w:p w14:paraId="4CD5BC1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塔底/箱变</w:t>
            </w:r>
          </w:p>
        </w:tc>
        <w:tc>
          <w:tcPr>
            <w:tcW w:w="2138" w:type="dxa"/>
            <w:vAlign w:val="center"/>
          </w:tcPr>
          <w:p w14:paraId="3E9E234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上网功率</w:t>
            </w:r>
          </w:p>
        </w:tc>
        <w:tc>
          <w:tcPr>
            <w:tcW w:w="2056" w:type="dxa"/>
            <w:vAlign w:val="center"/>
          </w:tcPr>
          <w:p w14:paraId="53BB97C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功率变送器</w:t>
            </w:r>
          </w:p>
        </w:tc>
        <w:tc>
          <w:tcPr>
            <w:tcW w:w="1552" w:type="dxa"/>
            <w:vAlign w:val="center"/>
          </w:tcPr>
          <w:p w14:paraId="5EBBAB3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模拟量</w:t>
            </w:r>
          </w:p>
        </w:tc>
        <w:tc>
          <w:tcPr>
            <w:tcW w:w="1511" w:type="dxa"/>
            <w:vAlign w:val="center"/>
          </w:tcPr>
          <w:p w14:paraId="60A3BCE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我方</w:t>
            </w:r>
          </w:p>
        </w:tc>
      </w:tr>
      <w:tr w14:paraId="36BF90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1A67A5A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374" w:type="dxa"/>
            <w:vAlign w:val="center"/>
          </w:tcPr>
          <w:p w14:paraId="154AA3C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</w:t>
            </w:r>
          </w:p>
        </w:tc>
        <w:tc>
          <w:tcPr>
            <w:tcW w:w="2138" w:type="dxa"/>
            <w:vAlign w:val="center"/>
          </w:tcPr>
          <w:p w14:paraId="6B7AC8C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变桨角度</w:t>
            </w:r>
          </w:p>
        </w:tc>
        <w:tc>
          <w:tcPr>
            <w:tcW w:w="2056" w:type="dxa"/>
            <w:vAlign w:val="center"/>
          </w:tcPr>
          <w:p w14:paraId="6075B4A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主控模拟量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5V</w:t>
            </w:r>
            <w:r>
              <w:rPr>
                <w:rFonts w:ascii="宋体" w:hAnsi="宋体" w:eastAsia="宋体"/>
                <w:sz w:val="24"/>
                <w:szCs w:val="24"/>
              </w:rPr>
              <w:t>输出</w:t>
            </w:r>
          </w:p>
        </w:tc>
        <w:tc>
          <w:tcPr>
            <w:tcW w:w="1552" w:type="dxa"/>
            <w:vMerge w:val="restart"/>
            <w:vAlign w:val="center"/>
          </w:tcPr>
          <w:p w14:paraId="1E9FC78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数模量输出（或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Modbus-Tcp</w:t>
            </w:r>
          </w:p>
          <w:p w14:paraId="72B6589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通讯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11" w:type="dxa"/>
            <w:vAlign w:val="center"/>
          </w:tcPr>
          <w:p w14:paraId="58725F5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  <w:tr w14:paraId="0FB760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6E04273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374" w:type="dxa"/>
            <w:vAlign w:val="center"/>
          </w:tcPr>
          <w:p w14:paraId="3061534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</w:t>
            </w:r>
          </w:p>
        </w:tc>
        <w:tc>
          <w:tcPr>
            <w:tcW w:w="2138" w:type="dxa"/>
            <w:vAlign w:val="center"/>
          </w:tcPr>
          <w:p w14:paraId="20C5A79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叶轮转速</w:t>
            </w:r>
          </w:p>
        </w:tc>
        <w:tc>
          <w:tcPr>
            <w:tcW w:w="2056" w:type="dxa"/>
            <w:vAlign w:val="center"/>
          </w:tcPr>
          <w:p w14:paraId="59BAED9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主控模拟量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5V</w:t>
            </w:r>
            <w:r>
              <w:rPr>
                <w:rFonts w:ascii="宋体" w:hAnsi="宋体" w:eastAsia="宋体"/>
                <w:sz w:val="24"/>
                <w:szCs w:val="24"/>
              </w:rPr>
              <w:t>输出</w:t>
            </w:r>
          </w:p>
        </w:tc>
        <w:tc>
          <w:tcPr>
            <w:tcW w:w="1552" w:type="dxa"/>
            <w:vMerge w:val="continue"/>
            <w:vAlign w:val="center"/>
          </w:tcPr>
          <w:p w14:paraId="7338F03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6A63BF86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  <w:tr w14:paraId="3DA24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08F293A5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374" w:type="dxa"/>
            <w:vAlign w:val="center"/>
          </w:tcPr>
          <w:p w14:paraId="5D16D1D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</w:t>
            </w:r>
          </w:p>
        </w:tc>
        <w:tc>
          <w:tcPr>
            <w:tcW w:w="2138" w:type="dxa"/>
            <w:vAlign w:val="center"/>
          </w:tcPr>
          <w:p w14:paraId="4F7E22F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机舱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风速</w:t>
            </w:r>
          </w:p>
        </w:tc>
        <w:tc>
          <w:tcPr>
            <w:tcW w:w="2056" w:type="dxa"/>
            <w:vAlign w:val="center"/>
          </w:tcPr>
          <w:p w14:paraId="350F439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主控模拟量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5V</w:t>
            </w:r>
            <w:r>
              <w:rPr>
                <w:rFonts w:ascii="宋体" w:hAnsi="宋体" w:eastAsia="宋体"/>
                <w:sz w:val="24"/>
                <w:szCs w:val="24"/>
              </w:rPr>
              <w:t>输出</w:t>
            </w:r>
          </w:p>
        </w:tc>
        <w:tc>
          <w:tcPr>
            <w:tcW w:w="1552" w:type="dxa"/>
            <w:vMerge w:val="continue"/>
            <w:vAlign w:val="center"/>
          </w:tcPr>
          <w:p w14:paraId="25A152C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38F22C8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  <w:tr w14:paraId="4CA59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167A317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74" w:type="dxa"/>
            <w:vAlign w:val="center"/>
          </w:tcPr>
          <w:p w14:paraId="68C7A7C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主控</w:t>
            </w:r>
          </w:p>
        </w:tc>
        <w:tc>
          <w:tcPr>
            <w:tcW w:w="2138" w:type="dxa"/>
            <w:vAlign w:val="center"/>
          </w:tcPr>
          <w:p w14:paraId="4E7D1E9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机组有功功率</w:t>
            </w:r>
          </w:p>
        </w:tc>
        <w:tc>
          <w:tcPr>
            <w:tcW w:w="2056" w:type="dxa"/>
            <w:vAlign w:val="center"/>
          </w:tcPr>
          <w:p w14:paraId="310B6CC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主控模拟量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5V</w:t>
            </w:r>
            <w:r>
              <w:rPr>
                <w:rFonts w:ascii="宋体" w:hAnsi="宋体" w:eastAsia="宋体"/>
                <w:sz w:val="24"/>
                <w:szCs w:val="24"/>
              </w:rPr>
              <w:t>输出</w:t>
            </w:r>
          </w:p>
        </w:tc>
        <w:tc>
          <w:tcPr>
            <w:tcW w:w="1552" w:type="dxa"/>
            <w:vMerge w:val="continue"/>
            <w:vAlign w:val="center"/>
          </w:tcPr>
          <w:p w14:paraId="1E58298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373D7B07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  <w:tr w14:paraId="1611E3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08ED506E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74" w:type="dxa"/>
            <w:vAlign w:val="center"/>
          </w:tcPr>
          <w:p w14:paraId="133345BC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</w:t>
            </w:r>
          </w:p>
        </w:tc>
        <w:tc>
          <w:tcPr>
            <w:tcW w:w="2138" w:type="dxa"/>
            <w:vAlign w:val="center"/>
          </w:tcPr>
          <w:p w14:paraId="3106F27F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机组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限电</w:t>
            </w:r>
            <w:r>
              <w:rPr>
                <w:rFonts w:ascii="宋体" w:hAnsi="宋体" w:eastAsia="宋体"/>
                <w:sz w:val="24"/>
                <w:szCs w:val="24"/>
              </w:rPr>
              <w:t>状态</w:t>
            </w:r>
          </w:p>
        </w:tc>
        <w:tc>
          <w:tcPr>
            <w:tcW w:w="2056" w:type="dxa"/>
            <w:vAlign w:val="center"/>
          </w:tcPr>
          <w:p w14:paraId="7291CAA0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主控状态量输出</w:t>
            </w:r>
          </w:p>
        </w:tc>
        <w:tc>
          <w:tcPr>
            <w:tcW w:w="1552" w:type="dxa"/>
            <w:vMerge w:val="continue"/>
            <w:vAlign w:val="center"/>
          </w:tcPr>
          <w:p w14:paraId="5E1749D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3E77D422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  <w:tr w14:paraId="4FE4E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808" w:type="dxa"/>
            <w:vAlign w:val="center"/>
          </w:tcPr>
          <w:p w14:paraId="475E4728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74" w:type="dxa"/>
            <w:vAlign w:val="center"/>
          </w:tcPr>
          <w:p w14:paraId="06DCAF23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</w:t>
            </w:r>
          </w:p>
        </w:tc>
        <w:tc>
          <w:tcPr>
            <w:tcW w:w="2138" w:type="dxa"/>
            <w:vAlign w:val="center"/>
          </w:tcPr>
          <w:p w14:paraId="5B3790E1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并网状态</w:t>
            </w:r>
          </w:p>
        </w:tc>
        <w:tc>
          <w:tcPr>
            <w:tcW w:w="2056" w:type="dxa"/>
            <w:vAlign w:val="center"/>
          </w:tcPr>
          <w:p w14:paraId="7DBDE64B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主控状态量输出</w:t>
            </w:r>
          </w:p>
        </w:tc>
        <w:tc>
          <w:tcPr>
            <w:tcW w:w="1552" w:type="dxa"/>
            <w:vMerge w:val="continue"/>
            <w:vAlign w:val="center"/>
          </w:tcPr>
          <w:p w14:paraId="7938D449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14:paraId="1434FD44">
            <w:pPr>
              <w:spacing w:after="0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客户</w:t>
            </w:r>
          </w:p>
        </w:tc>
      </w:tr>
    </w:tbl>
    <w:p w14:paraId="1A7A4E89">
      <w:pPr>
        <w:spacing w:before="120" w:beforeLines="50" w:after="0" w:line="360" w:lineRule="auto"/>
        <w:ind w:firstLine="468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在测试结束后，经我方和客户共同商议后，由我方出具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最终功率曲线测试报告，报告</w:t>
      </w: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内容主要有但不限于：</w:t>
      </w:r>
    </w:p>
    <w:p w14:paraId="6123AC38">
      <w:pPr>
        <w:spacing w:after="0" w:line="360" w:lineRule="auto"/>
        <w:ind w:firstLine="448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8"/>
          <w:sz w:val="24"/>
          <w:szCs w:val="24"/>
          <w:lang w:eastAsia="zh-CN"/>
        </w:rPr>
        <w:t>•测试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场地</w:t>
      </w:r>
    </w:p>
    <w:p w14:paraId="3092C101">
      <w:pPr>
        <w:spacing w:after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•机组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技术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参数</w:t>
      </w:r>
      <w:r>
        <w:rPr>
          <w:rFonts w:hint="eastAsia" w:ascii="宋体" w:hAnsi="宋体" w:eastAsia="宋体" w:cs="宋体"/>
          <w:spacing w:val="-6"/>
          <w:sz w:val="24"/>
          <w:szCs w:val="24"/>
          <w:lang w:eastAsia="zh-CN"/>
        </w:rPr>
        <w:t>表（需业主盖章版）</w:t>
      </w:r>
    </w:p>
    <w:p w14:paraId="090302FB">
      <w:pPr>
        <w:spacing w:after="0" w:line="360" w:lineRule="auto"/>
        <w:ind w:firstLine="46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•测试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设备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及仪器</w:t>
      </w:r>
    </w:p>
    <w:p w14:paraId="539612D3">
      <w:pPr>
        <w:spacing w:after="0" w:line="360" w:lineRule="auto"/>
        <w:ind w:firstLine="46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•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数据采集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和处理</w:t>
      </w:r>
    </w:p>
    <w:p w14:paraId="3F5D18F8">
      <w:pPr>
        <w:spacing w:after="0" w:line="360" w:lineRule="auto"/>
        <w:ind w:firstLine="44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9"/>
          <w:sz w:val="24"/>
          <w:szCs w:val="24"/>
          <w:lang w:eastAsia="zh-CN"/>
        </w:rPr>
        <w:t>•测试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结果</w:t>
      </w:r>
    </w:p>
    <w:p w14:paraId="7193C6A5">
      <w:pPr>
        <w:spacing w:after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•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不确定度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分析</w:t>
      </w:r>
    </w:p>
    <w:p w14:paraId="4D389F01">
      <w:pPr>
        <w:spacing w:before="100" w:beforeAutospacing="1" w:after="100" w:afterAutospacing="1"/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5.2.2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.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客户协助事项及说明</w:t>
      </w:r>
    </w:p>
    <w:p w14:paraId="1038B4F8">
      <w:pPr>
        <w:spacing w:after="0" w:line="360" w:lineRule="auto"/>
        <w:ind w:firstLine="46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现场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工作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开始前，客户方需对我方工程师提供免费的机组安全规范和风场安全规范的</w:t>
      </w:r>
      <w:r>
        <w:rPr>
          <w:rFonts w:ascii="宋体" w:hAnsi="宋体" w:eastAsia="宋体" w:cs="宋体"/>
          <w:spacing w:val="-8"/>
          <w:sz w:val="24"/>
          <w:szCs w:val="24"/>
          <w:lang w:eastAsia="zh-CN"/>
        </w:rPr>
        <w:t>培训指导。</w:t>
      </w:r>
    </w:p>
    <w:p w14:paraId="6A834C22">
      <w:pPr>
        <w:spacing w:after="0" w:line="360" w:lineRule="auto"/>
        <w:ind w:firstLine="46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测试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设备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安装调试期间，我方工程师应可在客户方许可的情况下自由进出机组；为保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证预定的工作计划，设备安装过程中必要的机组断电、断箱变等操作需良好配合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。</w:t>
      </w:r>
    </w:p>
    <w:p w14:paraId="4A0C9D7A">
      <w:pPr>
        <w:spacing w:after="0" w:line="360" w:lineRule="auto"/>
        <w:ind w:firstLine="456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在整个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安装</w:t>
      </w:r>
      <w:r>
        <w:rPr>
          <w:rFonts w:ascii="宋体" w:hAnsi="宋体" w:eastAsia="宋体" w:cs="宋体"/>
          <w:spacing w:val="-6"/>
          <w:sz w:val="24"/>
          <w:szCs w:val="24"/>
          <w:lang w:eastAsia="zh-CN"/>
        </w:rPr>
        <w:t>、联调、信号标定、试运行及后</w:t>
      </w:r>
      <w:r>
        <w:rPr>
          <w:rFonts w:ascii="宋体" w:hAnsi="宋体" w:eastAsia="宋体" w:cs="宋体"/>
          <w:spacing w:val="-7"/>
          <w:sz w:val="24"/>
          <w:szCs w:val="24"/>
          <w:lang w:eastAsia="zh-CN"/>
        </w:rPr>
        <w:t>期设备拆除过程中，需要客户方电气工程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师和现场运维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人员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各一位配合我方工作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。</w:t>
      </w:r>
    </w:p>
    <w:p w14:paraId="61022517">
      <w:pPr>
        <w:spacing w:after="0" w:line="360" w:lineRule="auto"/>
        <w:ind w:firstLine="44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10"/>
          <w:sz w:val="24"/>
          <w:szCs w:val="24"/>
          <w:lang w:eastAsia="zh-CN"/>
        </w:rPr>
        <w:t>我方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要求</w:t>
      </w:r>
      <w:r>
        <w:rPr>
          <w:rFonts w:ascii="宋体" w:hAnsi="宋体" w:eastAsia="宋体" w:cs="宋体"/>
          <w:spacing w:val="-10"/>
          <w:sz w:val="24"/>
          <w:szCs w:val="24"/>
          <w:lang w:eastAsia="zh-CN"/>
        </w:rPr>
        <w:t>的电压、电流测试点应满足测量的功率为净上网功率（消除自身功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率损耗</w:t>
      </w:r>
      <w:r>
        <w:rPr>
          <w:rFonts w:ascii="宋体" w:hAnsi="宋体" w:eastAsia="宋体" w:cs="宋体"/>
          <w:spacing w:val="-33"/>
          <w:sz w:val="24"/>
          <w:szCs w:val="24"/>
          <w:lang w:eastAsia="zh-CN"/>
        </w:rPr>
        <w:t>）；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客户需要在我方的指导下</w:t>
      </w:r>
      <w:r>
        <w:rPr>
          <w:rFonts w:hint="eastAsia" w:ascii="宋体" w:hAnsi="宋体" w:eastAsia="宋体" w:cs="宋体"/>
          <w:spacing w:val="-4"/>
          <w:sz w:val="24"/>
          <w:szCs w:val="24"/>
          <w:lang w:eastAsia="zh-CN"/>
        </w:rPr>
        <w:t>协助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安装电流互感器；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由客户提供的输出信号在后期不能更改；客户需要向塔底测试柜提供</w:t>
      </w:r>
      <w:r>
        <w:rPr>
          <w:rFonts w:ascii="宋体" w:hAnsi="宋体" w:eastAsia="宋体" w:cs="Times New Roman"/>
          <w:spacing w:val="-3"/>
          <w:sz w:val="24"/>
          <w:szCs w:val="24"/>
          <w:lang w:eastAsia="zh-CN"/>
        </w:rPr>
        <w:t>2</w:t>
      </w:r>
      <w:r>
        <w:rPr>
          <w:rFonts w:hint="eastAsia" w:ascii="宋体" w:hAnsi="宋体" w:eastAsia="宋体" w:cs="Times New Roman"/>
          <w:spacing w:val="-3"/>
          <w:sz w:val="24"/>
          <w:szCs w:val="24"/>
          <w:lang w:val="en-US" w:eastAsia="zh-CN"/>
        </w:rPr>
        <w:t>3</w:t>
      </w:r>
      <w:r>
        <w:rPr>
          <w:rFonts w:ascii="宋体" w:hAnsi="宋体" w:eastAsia="宋体" w:cs="Times New Roman"/>
          <w:spacing w:val="-3"/>
          <w:sz w:val="24"/>
          <w:szCs w:val="24"/>
          <w:lang w:eastAsia="zh-CN"/>
        </w:rPr>
        <w:t>0V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电力供应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</w:t>
      </w:r>
    </w:p>
    <w:p w14:paraId="2A55C00B">
      <w:pPr>
        <w:spacing w:after="0" w:line="360" w:lineRule="auto"/>
        <w:ind w:firstLine="46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客户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需要</w:t>
      </w: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提交加盖企业公章的机组信息确认表、包含信号名称和量程范围的机组信号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输出表、机组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并网</w:t>
      </w:r>
      <w:r>
        <w:rPr>
          <w:rFonts w:ascii="宋体" w:hAnsi="宋体" w:eastAsia="宋体" w:cs="宋体"/>
          <w:spacing w:val="-5"/>
          <w:sz w:val="24"/>
          <w:szCs w:val="24"/>
          <w:lang w:eastAsia="zh-CN"/>
        </w:rPr>
        <w:t>接线简图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。</w:t>
      </w:r>
    </w:p>
    <w:p w14:paraId="36B533EC">
      <w:pPr>
        <w:spacing w:after="0" w:line="360" w:lineRule="auto"/>
        <w:ind w:firstLine="464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4"/>
          <w:sz w:val="24"/>
          <w:szCs w:val="24"/>
          <w:lang w:eastAsia="zh-CN"/>
        </w:rPr>
        <w:t>客户需安排人员进行定期的系统检查；如测试现场无网络信号，客户需协助测试数据</w:t>
      </w:r>
      <w:r>
        <w:rPr>
          <w:rFonts w:ascii="宋体" w:hAnsi="宋体" w:eastAsia="宋体" w:cs="宋体"/>
          <w:spacing w:val="-11"/>
          <w:sz w:val="24"/>
          <w:szCs w:val="24"/>
          <w:lang w:eastAsia="zh-CN"/>
        </w:rPr>
        <w:t>的拷贝和发送</w:t>
      </w:r>
      <w:r>
        <w:rPr>
          <w:rFonts w:hint="eastAsia" w:ascii="宋体" w:hAnsi="宋体" w:eastAsia="宋体" w:cs="宋体"/>
          <w:spacing w:val="-11"/>
          <w:sz w:val="24"/>
          <w:szCs w:val="24"/>
          <w:lang w:eastAsia="zh-CN"/>
        </w:rPr>
        <w:t>。</w:t>
      </w:r>
    </w:p>
    <w:p w14:paraId="6095BAFA">
      <w:pPr>
        <w:spacing w:after="0" w:line="360" w:lineRule="auto"/>
        <w:ind w:firstLine="472" w:firstLineChars="200"/>
        <w:rPr>
          <w:rFonts w:hint="default" w:ascii="宋体" w:hAnsi="宋体" w:eastAsia="宋体" w:cs="宋体"/>
          <w:spacing w:val="-2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测试期间机组需要正常运行且机组大部件及控制策略不得更改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如发生更改，须及时告知我方。</w:t>
      </w:r>
    </w:p>
    <w:p w14:paraId="6B32E548">
      <w:pPr>
        <w:spacing w:before="100" w:beforeAutospacing="1" w:after="100" w:afterAutospacing="1"/>
        <w:outlineLvl w:val="1"/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sz w:val="24"/>
          <w:szCs w:val="24"/>
          <w:lang w:eastAsia="zh-CN"/>
        </w:rPr>
        <w:t>5.3．信号采集</w:t>
      </w:r>
    </w:p>
    <w:p w14:paraId="1A92DA8B">
      <w:pPr>
        <w:spacing w:after="0" w:line="360" w:lineRule="auto"/>
        <w:ind w:firstLine="468" w:firstLineChars="200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在塔底安装采集器，测风雷达自带数据采集存储功能，将塔底采集器和测风雷达通过网络进行对时。对机组及测风雷达的数据进行同步采集。信号采集主要包含机组上网净功率、机组信号和气象数据。机组信号主要包含机组的有功功率、桨距角、叶轮转速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机舱风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速、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机组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可利用状态、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并网状态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</w:t>
      </w:r>
    </w:p>
    <w:p w14:paraId="0ED6C2D1">
      <w:pPr>
        <w:spacing w:before="100" w:beforeAutospacing="1" w:after="100" w:afterAutospacing="1"/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5.3.1.机组功率采集</w:t>
      </w:r>
    </w:p>
    <w:p w14:paraId="4DF635DC">
      <w:pPr>
        <w:spacing w:before="100" w:beforeAutospacing="1" w:after="100" w:afterAutospacing="1"/>
        <w:ind w:firstLine="420" w:firstLineChars="0"/>
        <w:rPr>
          <w:rFonts w:hint="default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使用电流互感器及功率变送器采集，电流互感器安装在变流器输出或者箱变输入铜排上，同时变送器直接采集输出电压1140。安装位置如下：</w:t>
      </w:r>
    </w:p>
    <w:p w14:paraId="04937818">
      <w:pPr>
        <w:numPr>
          <w:ilvl w:val="0"/>
          <w:numId w:val="0"/>
        </w:numPr>
        <w:spacing w:before="100" w:beforeAutospacing="1" w:after="100" w:afterAutospacing="1" w:line="360" w:lineRule="auto"/>
        <w:ind w:leftChars="0" w:firstLine="420" w:firstLineChars="0"/>
        <w:jc w:val="center"/>
        <w:rPr>
          <w:rFonts w:hint="default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465320" cy="3429000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EEC20">
      <w:pPr>
        <w:numPr>
          <w:ilvl w:val="0"/>
          <w:numId w:val="0"/>
        </w:numPr>
        <w:spacing w:before="100" w:beforeAutospacing="1" w:after="100" w:afterAutospacing="1"/>
        <w:ind w:leftChars="0"/>
        <w:rPr>
          <w:rFonts w:hint="default" w:ascii="宋体" w:hAnsi="宋体" w:eastAsia="宋体" w:cs="宋体"/>
          <w:b/>
          <w:bCs/>
          <w:spacing w:val="-1"/>
          <w:sz w:val="24"/>
          <w:szCs w:val="24"/>
          <w:lang w:val="en-US" w:eastAsia="zh-CN"/>
        </w:rPr>
      </w:pPr>
    </w:p>
    <w:p w14:paraId="4A1F933A">
      <w:pPr>
        <w:spacing w:before="100" w:beforeAutospacing="1" w:after="100" w:afterAutospacing="1"/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5.3.2.机组信号采集</w:t>
      </w:r>
    </w:p>
    <w:p w14:paraId="385FE792">
      <w:pPr>
        <w:spacing w:after="0" w:line="360" w:lineRule="auto"/>
        <w:ind w:firstLine="468" w:firstLineChars="200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机组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信号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采集主要包含机组有功功率、桨距角、叶轮转速、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机舱风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速、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机组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可利用状态、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并网状态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。其中机组桨距角、叶轮转速、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机舱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风速、有功功率通过Modbus-TCP 通讯或数模量输出传给数据采集器。采集器对以上信号进行采集，判断机组测试期间的运行状态。</w:t>
      </w:r>
    </w:p>
    <w:p w14:paraId="52439B2A">
      <w:pPr>
        <w:spacing w:before="100" w:beforeAutospacing="1" w:after="100" w:afterAutospacing="1"/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5.3.3.气象数据采集</w:t>
      </w:r>
    </w:p>
    <w:p w14:paraId="06A46CE8">
      <w:pPr>
        <w:spacing w:after="0" w:line="360" w:lineRule="auto"/>
        <w:ind w:firstLine="472" w:firstLineChars="200"/>
        <w:rPr>
          <w:rFonts w:hint="default" w:ascii="宋体" w:hAnsi="宋体" w:eastAsia="宋体" w:cs="宋体"/>
          <w:spacing w:val="-3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在被测机组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主风向2.5D（D:叶轮直径）位置安装测风雷达,同时需考虑测风雷达的有效扇区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测风雷达同时采集叶轮不同高度（见表 2）的风向以及环境温湿压数据。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根据现场实际踏勘结果选择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测风雷达的</w:t>
      </w:r>
      <w:r>
        <w:rPr>
          <w:rFonts w:ascii="宋体" w:hAnsi="宋体" w:eastAsia="宋体" w:cs="宋体"/>
          <w:spacing w:val="-3"/>
          <w:sz w:val="24"/>
          <w:szCs w:val="24"/>
          <w:lang w:eastAsia="zh-CN"/>
        </w:rPr>
        <w:t>最终位置。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测风雷达的供电由现场安装太阳能电池板及储能系统进行独立供电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或直接由机组供电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根据现场实勘情况确定最终设备供电方案。</w:t>
      </w:r>
    </w:p>
    <w:p w14:paraId="22643357">
      <w:pPr>
        <w:spacing w:before="100" w:beforeAutospacing="1" w:after="100" w:afterAutospacing="1"/>
        <w:outlineLvl w:val="1"/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5.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．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测试机组选择</w:t>
      </w:r>
    </w:p>
    <w:p w14:paraId="54F1E152">
      <w:pPr>
        <w:numPr>
          <w:ilvl w:val="0"/>
          <w:numId w:val="4"/>
        </w:numPr>
        <w:spacing w:before="100" w:beforeAutospacing="1" w:after="100" w:afterAutospacing="1"/>
        <w:ind w:left="425" w:leftChars="0" w:hanging="425" w:firstLineChars="0"/>
        <w:outlineLvl w:val="1"/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根据客户提供风场机位图、风资源相关资料，得知，风电场 80m 高度风能主要集中于 191.26°~236.25°（SSW～NW），占总风能的 81%；风电场 50m 高度风能主要集中于 191.26°~236.25°（SSW～NW），占总风能 的 80%；风电场 10m 高度风能主要集中于 191.26°~236.25°（SSW～NW），占总风 能的 79%。根据经验，为更快采集到符合标准数据库，本次测试选择机位及扇区，以西南、西、西北风为主。风能玫瑰图如下：</w:t>
      </w:r>
    </w:p>
    <w:p w14:paraId="0352AD86">
      <w:pPr>
        <w:numPr>
          <w:ilvl w:val="0"/>
          <w:numId w:val="4"/>
        </w:numPr>
        <w:spacing w:before="100" w:beforeAutospacing="1" w:after="100" w:afterAutospacing="1"/>
        <w:ind w:left="425" w:leftChars="0" w:hanging="425" w:firstLineChars="0"/>
        <w:outlineLvl w:val="1"/>
        <w:rPr>
          <w:rFonts w:hint="default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</w:pPr>
      <w:r>
        <w:rPr>
          <w:rFonts w:hint="eastAsia"/>
          <w:sz w:val="24"/>
          <w:szCs w:val="28"/>
        </w:rPr>
        <w:t>MySE5.0-193/110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风机：根据风场机组分布，拟选择T06/T03/T08作为测试机组。测试机组优先选择T06和T03机组（包含西南至西北扇区最大），具体根据现场场地勘察后确定。3台机组测试扇区如下：</w:t>
      </w:r>
    </w:p>
    <w:tbl>
      <w:tblPr>
        <w:tblStyle w:val="7"/>
        <w:tblW w:w="94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0" w:type="dxa"/>
          <w:left w:w="128" w:type="dxa"/>
          <w:bottom w:w="80" w:type="dxa"/>
          <w:right w:w="128" w:type="dxa"/>
        </w:tblCellMar>
      </w:tblPr>
      <w:tblGrid>
        <w:gridCol w:w="1746"/>
        <w:gridCol w:w="7693"/>
      </w:tblGrid>
      <w:tr w14:paraId="63F5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tblHeader/>
          <w:jc w:val="center"/>
        </w:trPr>
        <w:tc>
          <w:tcPr>
            <w:tcW w:w="1746" w:type="dxa"/>
            <w:vAlign w:val="center"/>
          </w:tcPr>
          <w:p w14:paraId="41839D2F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机组号</w:t>
            </w:r>
          </w:p>
        </w:tc>
        <w:tc>
          <w:tcPr>
            <w:tcW w:w="7693" w:type="dxa"/>
            <w:vAlign w:val="center"/>
          </w:tcPr>
          <w:p w14:paraId="75CCB7FA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测试有效扇区(°)</w:t>
            </w:r>
          </w:p>
        </w:tc>
      </w:tr>
      <w:tr w14:paraId="6E3D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746" w:type="dxa"/>
            <w:vAlign w:val="center"/>
          </w:tcPr>
          <w:p w14:paraId="0F69A796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T06</w:t>
            </w:r>
          </w:p>
        </w:tc>
        <w:tc>
          <w:tcPr>
            <w:tcW w:w="7693" w:type="dxa"/>
            <w:vAlign w:val="center"/>
          </w:tcPr>
          <w:p w14:paraId="49E90D77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64-81&amp;138-360</w:t>
            </w:r>
          </w:p>
        </w:tc>
      </w:tr>
      <w:tr w14:paraId="1F7E6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746" w:type="dxa"/>
            <w:vAlign w:val="center"/>
          </w:tcPr>
          <w:p w14:paraId="7CA16AE0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T03</w:t>
            </w:r>
          </w:p>
        </w:tc>
        <w:tc>
          <w:tcPr>
            <w:tcW w:w="7693" w:type="dxa"/>
            <w:vAlign w:val="center"/>
          </w:tcPr>
          <w:p w14:paraId="26B2B87F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0-176&amp;233-360</w:t>
            </w:r>
          </w:p>
        </w:tc>
      </w:tr>
      <w:tr w14:paraId="13F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0" w:type="dxa"/>
            <w:left w:w="128" w:type="dxa"/>
            <w:bottom w:w="80" w:type="dxa"/>
            <w:right w:w="128" w:type="dxa"/>
          </w:tblCellMar>
        </w:tblPrEx>
        <w:trPr>
          <w:trHeight w:val="0" w:hRule="atLeast"/>
          <w:jc w:val="center"/>
        </w:trPr>
        <w:tc>
          <w:tcPr>
            <w:tcW w:w="1746" w:type="dxa"/>
            <w:vAlign w:val="center"/>
          </w:tcPr>
          <w:p w14:paraId="386DD7ED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default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T08</w:t>
            </w:r>
          </w:p>
        </w:tc>
        <w:tc>
          <w:tcPr>
            <w:tcW w:w="7693" w:type="dxa"/>
            <w:vAlign w:val="center"/>
          </w:tcPr>
          <w:p w14:paraId="407E2FE7">
            <w:pPr>
              <w:numPr>
                <w:ilvl w:val="0"/>
                <w:numId w:val="0"/>
              </w:numPr>
              <w:snapToGrid w:val="0"/>
              <w:spacing w:before="100" w:beforeAutospacing="1" w:after="100" w:afterAutospacing="1"/>
              <w:jc w:val="center"/>
              <w:outlineLvl w:val="1"/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4"/>
                <w:szCs w:val="24"/>
                <w:vertAlign w:val="baseline"/>
                <w:lang w:val="en-US" w:eastAsia="zh-CN"/>
              </w:rPr>
              <w:t>0-62&amp;133-270&amp;301-360</w:t>
            </w:r>
          </w:p>
        </w:tc>
      </w:tr>
    </w:tbl>
    <w:p w14:paraId="4C3EE22B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after="0" w:line="360" w:lineRule="auto"/>
        <w:ind w:leftChars="0"/>
        <w:textAlignment w:val="baseline"/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</w:pPr>
    </w:p>
    <w:p w14:paraId="6CF2C12B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  <w:lang w:eastAsia="zh-CN"/>
        </w:rPr>
        <w:t>测试周期</w:t>
      </w:r>
    </w:p>
    <w:p w14:paraId="37E97400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功率曲线测试项目的规定测试周期如表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 xml:space="preserve"> </w:t>
      </w:r>
      <w:r>
        <w:rPr>
          <w:rFonts w:hint="eastAsia" w:ascii="宋体" w:hAnsi="宋体" w:eastAsia="宋体" w:cs="Times New Roman"/>
          <w:spacing w:val="-2"/>
          <w:sz w:val="24"/>
          <w:szCs w:val="24"/>
          <w:lang w:eastAsia="zh-CN"/>
        </w:rPr>
        <w:t xml:space="preserve">3 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所示。</w:t>
      </w:r>
    </w:p>
    <w:p w14:paraId="1213F4B3">
      <w:pPr>
        <w:pStyle w:val="2"/>
        <w:keepNext/>
        <w:jc w:val="center"/>
        <w:rPr>
          <w:rFonts w:hint="eastAsia"/>
        </w:rPr>
      </w:pPr>
      <w:r>
        <w:rPr>
          <w:rFonts w:hint="eastAsia"/>
        </w:rPr>
        <w:t xml:space="preserve">表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表 \* ARABIC</w:instrText>
      </w:r>
      <w:r>
        <w:instrText xml:space="preserve"> </w:instrText>
      </w:r>
      <w:r>
        <w:fldChar w:fldCharType="separate"/>
      </w:r>
      <w:r>
        <w:rPr>
          <w:rFonts w:hint="eastAsia"/>
        </w:rPr>
        <w:t>3</w:t>
      </w:r>
      <w:r>
        <w:fldChar w:fldCharType="end"/>
      </w:r>
      <w:r>
        <w:rPr>
          <w:rFonts w:hint="eastAsia"/>
          <w:lang w:eastAsia="zh-CN"/>
        </w:rPr>
        <w:t xml:space="preserve"> 测试周期</w:t>
      </w:r>
    </w:p>
    <w:tbl>
      <w:tblPr>
        <w:tblStyle w:val="9"/>
        <w:tblW w:w="500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46"/>
        <w:gridCol w:w="1788"/>
        <w:gridCol w:w="4652"/>
        <w:gridCol w:w="997"/>
      </w:tblGrid>
      <w:tr w14:paraId="66ADF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079" w:type="pct"/>
            <w:vAlign w:val="center"/>
          </w:tcPr>
          <w:p w14:paraId="229F428F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测试项目</w:t>
            </w:r>
          </w:p>
        </w:tc>
        <w:tc>
          <w:tcPr>
            <w:tcW w:w="943" w:type="pct"/>
            <w:vAlign w:val="center"/>
          </w:tcPr>
          <w:p w14:paraId="52C91F05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规定测试周期</w:t>
            </w:r>
          </w:p>
        </w:tc>
        <w:tc>
          <w:tcPr>
            <w:tcW w:w="2453" w:type="pct"/>
            <w:vAlign w:val="center"/>
          </w:tcPr>
          <w:p w14:paraId="08B7F011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ascii="宋体" w:hAnsi="宋体" w:eastAsia="宋体"/>
                <w:sz w:val="22"/>
                <w:szCs w:val="22"/>
                <w:lang w:eastAsia="zh-CN"/>
              </w:rPr>
              <w:t>设备安装所需停机时间（自然日/正常情况）</w:t>
            </w:r>
          </w:p>
        </w:tc>
        <w:tc>
          <w:tcPr>
            <w:tcW w:w="525" w:type="pct"/>
            <w:vAlign w:val="center"/>
          </w:tcPr>
          <w:p w14:paraId="13816936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备注</w:t>
            </w:r>
          </w:p>
        </w:tc>
      </w:tr>
      <w:tr w14:paraId="7AF91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79" w:type="pct"/>
            <w:vAlign w:val="center"/>
          </w:tcPr>
          <w:p w14:paraId="3AD4EF66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功率曲线测试</w:t>
            </w:r>
          </w:p>
        </w:tc>
        <w:tc>
          <w:tcPr>
            <w:tcW w:w="943" w:type="pct"/>
            <w:vAlign w:val="center"/>
          </w:tcPr>
          <w:p w14:paraId="15F0F06D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三个月</w:t>
            </w:r>
          </w:p>
        </w:tc>
        <w:tc>
          <w:tcPr>
            <w:tcW w:w="2453" w:type="pct"/>
            <w:vAlign w:val="center"/>
          </w:tcPr>
          <w:p w14:paraId="57444D4E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2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-</w:t>
            </w:r>
            <w:r>
              <w:rPr>
                <w:rFonts w:ascii="宋体" w:hAnsi="宋体" w:eastAsia="宋体"/>
                <w:sz w:val="22"/>
                <w:szCs w:val="22"/>
              </w:rPr>
              <w:t>4</w:t>
            </w:r>
          </w:p>
        </w:tc>
        <w:tc>
          <w:tcPr>
            <w:tcW w:w="525" w:type="pct"/>
            <w:vAlign w:val="center"/>
          </w:tcPr>
          <w:p w14:paraId="72567CA7">
            <w:pPr>
              <w:spacing w:after="0" w:line="360" w:lineRule="auto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</w:p>
        </w:tc>
      </w:tr>
      <w:tr w14:paraId="591B41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5000" w:type="pct"/>
            <w:gridSpan w:val="4"/>
            <w:vAlign w:val="center"/>
          </w:tcPr>
          <w:p w14:paraId="403EC7CB">
            <w:pPr>
              <w:spacing w:after="0" w:line="360" w:lineRule="auto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当满足下列条件时,数据库认为是完整的:</w:t>
            </w:r>
          </w:p>
          <w:p w14:paraId="438391C9">
            <w:pPr>
              <w:pStyle w:val="13"/>
              <w:numPr>
                <w:ilvl w:val="0"/>
                <w:numId w:val="5"/>
              </w:numPr>
              <w:spacing w:after="0" w:line="360" w:lineRule="auto"/>
              <w:ind w:firstLineChars="0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每一个区间至少包含30min的采样数据;</w:t>
            </w:r>
          </w:p>
          <w:p w14:paraId="297C9A19">
            <w:pPr>
              <w:pStyle w:val="13"/>
              <w:numPr>
                <w:ilvl w:val="0"/>
                <w:numId w:val="5"/>
              </w:numPr>
              <w:spacing w:after="0" w:line="360" w:lineRule="auto"/>
              <w:ind w:firstLineChars="0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数据库包含至少180h的采样数据。</w:t>
            </w:r>
          </w:p>
          <w:p w14:paraId="2C306EE6">
            <w:pPr>
              <w:spacing w:after="0" w:line="360" w:lineRule="auto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/>
                <w:sz w:val="22"/>
                <w:szCs w:val="22"/>
                <w:lang w:eastAsia="zh-CN"/>
              </w:rPr>
              <w:t>如果某一区间不完整导致测试不完整,则可用2个完整的邻近区间的线性插值来估计其区间值。</w:t>
            </w:r>
          </w:p>
        </w:tc>
      </w:tr>
    </w:tbl>
    <w:p w14:paraId="05B72911">
      <w:pPr>
        <w:spacing w:before="240" w:line="336" w:lineRule="auto"/>
        <w:ind w:firstLine="412" w:firstLineChars="200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spacing w:val="-2"/>
          <w:lang w:eastAsia="zh-CN"/>
        </w:rPr>
        <w:t>注：规定测试周期系指自测试开始之日起至规定之日止。对于测试过程中因甲方测试机组运行故障等原因造成的暂停</w:t>
      </w:r>
      <w:r>
        <w:rPr>
          <w:rFonts w:ascii="宋体" w:hAnsi="宋体" w:eastAsia="宋体" w:cs="Times New Roman"/>
          <w:spacing w:val="-2"/>
          <w:lang w:eastAsia="zh-CN"/>
        </w:rPr>
        <w:t>/</w:t>
      </w:r>
      <w:r>
        <w:rPr>
          <w:rFonts w:ascii="宋体" w:hAnsi="宋体" w:eastAsia="宋体" w:cs="宋体"/>
          <w:spacing w:val="-3"/>
          <w:lang w:eastAsia="zh-CN"/>
        </w:rPr>
        <w:t>等待时间包含在规定测试周期内。</w:t>
      </w:r>
    </w:p>
    <w:p w14:paraId="5EAF2660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  <w:t>数据处理</w:t>
      </w:r>
    </w:p>
    <w:p w14:paraId="0060095F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按照标准要求进行功率曲线测试，测试过程中应通过定期现场采集或远程传输的方式采集数据，并检查数据有效性。</w:t>
      </w:r>
    </w:p>
    <w:p w14:paraId="7F54227A">
      <w:pPr>
        <w:spacing w:after="0" w:line="360" w:lineRule="auto"/>
        <w:ind w:firstLine="472" w:firstLineChars="200"/>
        <w:rPr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测试工作完成后，进行数据的处理、分析和报告编制。主要流程如下</w:t>
      </w:r>
      <w:r>
        <w:rPr>
          <w:lang w:eastAsia="zh-CN"/>
        </w:rPr>
        <w:t>：</w:t>
      </w:r>
    </w:p>
    <w:p w14:paraId="59BB9F87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检验功率数据的有效性，确保数据来源真实可靠；</w:t>
      </w:r>
    </w:p>
    <w:p w14:paraId="0DE3D3FD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检查机组配置清单；</w:t>
      </w:r>
    </w:p>
    <w:p w14:paraId="7848517F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按照标准要求进行有效扇区筛选；</w:t>
      </w:r>
    </w:p>
    <w:p w14:paraId="096B6502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对筛选后的数据进行归一化、标准空气密度转化的计算；</w:t>
      </w:r>
    </w:p>
    <w:p w14:paraId="780EB88B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将风速按照0.5m/s的扇区进行划分，计算每个扇区的平均风速和平均功率；</w:t>
      </w:r>
    </w:p>
    <w:p w14:paraId="67CA9CE3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绘制散点图和实测功率曲线图；</w:t>
      </w:r>
    </w:p>
    <w:p w14:paraId="62F19BFC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绘制风能利用系数Cp曲线；</w:t>
      </w:r>
    </w:p>
    <w:p w14:paraId="69FA057C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分析本次测试的不确定度；</w:t>
      </w:r>
    </w:p>
    <w:p w14:paraId="37B15850">
      <w:pPr>
        <w:pStyle w:val="13"/>
        <w:numPr>
          <w:ilvl w:val="0"/>
          <w:numId w:val="6"/>
        </w:numPr>
        <w:spacing w:after="0" w:line="360" w:lineRule="auto"/>
        <w:ind w:firstLineChars="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根据现场提供的威尔分布系数，推算年发电量。</w:t>
      </w:r>
    </w:p>
    <w:p w14:paraId="2995CEFA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sz w:val="24"/>
          <w:szCs w:val="24"/>
          <w:lang w:eastAsia="zh-CN"/>
        </w:rPr>
        <w:t>功率曲线评价</w:t>
      </w:r>
    </w:p>
    <w:p w14:paraId="73322575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本次功率曲线考核计算方法参考《GB/T20319-2017风力发电机组验收规范》中附的相关要求，公式如下：</w:t>
      </w:r>
    </w:p>
    <w:p w14:paraId="65D3F522">
      <w:pPr>
        <w:spacing w:after="0" w:line="360" w:lineRule="auto"/>
        <w:ind w:firstLine="552" w:firstLineChars="200"/>
        <w:jc w:val="center"/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k=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（</w:t>
      </w: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AEP</w:t>
      </w:r>
      <w:r>
        <w:rPr>
          <w:rFonts w:ascii="宋体" w:hAnsi="宋体" w:eastAsia="宋体" w:cs="宋体"/>
          <w:spacing w:val="-2"/>
          <w:sz w:val="28"/>
          <w:szCs w:val="28"/>
          <w:vertAlign w:val="subscript"/>
          <w:lang w:eastAsia="zh-CN"/>
        </w:rPr>
        <w:t>infer</w:t>
      </w: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/AEP</w:t>
      </w:r>
      <w:r>
        <w:rPr>
          <w:rFonts w:ascii="宋体" w:hAnsi="宋体" w:eastAsia="宋体" w:cs="宋体"/>
          <w:spacing w:val="-2"/>
          <w:sz w:val="28"/>
          <w:szCs w:val="28"/>
          <w:vertAlign w:val="subscript"/>
          <w:lang w:eastAsia="zh-CN"/>
        </w:rPr>
        <w:t>warranty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）</w:t>
      </w: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×100%</w:t>
      </w:r>
    </w:p>
    <w:p w14:paraId="0F700E78">
      <w:pPr>
        <w:spacing w:after="0" w:line="360" w:lineRule="auto"/>
        <w:ind w:firstLine="472" w:firstLineChars="200"/>
        <w:jc w:val="center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drawing>
          <wp:inline distT="0" distB="0" distL="0" distR="0">
            <wp:extent cx="2634615" cy="379095"/>
            <wp:effectExtent l="0" t="0" r="0" b="0"/>
            <wp:docPr id="690" name="IM 690" descr="形状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" name="IM 690" descr="形状&#10;&#10;中度可信度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35028" cy="37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C166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式中：</w:t>
      </w:r>
    </w:p>
    <w:p w14:paraId="4DF33B8C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K: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 xml:space="preserve"> 功率曲线保证值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07404D5E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AEP</w:t>
      </w:r>
      <w:r>
        <w:rPr>
          <w:rFonts w:ascii="宋体" w:hAnsi="宋体" w:eastAsia="宋体" w:cs="宋体"/>
          <w:spacing w:val="-2"/>
          <w:sz w:val="24"/>
          <w:szCs w:val="24"/>
          <w:vertAlign w:val="subscript"/>
          <w:lang w:eastAsia="zh-CN"/>
        </w:rPr>
        <w:t>infer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根据实际功率曲线</w:t>
      </w:r>
      <w:r>
        <w:rPr>
          <w:rFonts w:hint="eastAsia" w:ascii="宋体" w:hAnsi="宋体" w:eastAsia="宋体"/>
          <w:sz w:val="24"/>
          <w:szCs w:val="24"/>
          <w:lang w:eastAsia="zh-CN"/>
        </w:rPr>
        <w:t>按威尔分布系数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推算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的年发电量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48E4CB04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AEP</w:t>
      </w:r>
      <w:r>
        <w:rPr>
          <w:rFonts w:ascii="宋体" w:hAnsi="宋体" w:eastAsia="宋体" w:cs="宋体"/>
          <w:spacing w:val="-2"/>
          <w:sz w:val="24"/>
          <w:szCs w:val="24"/>
          <w:vertAlign w:val="subscript"/>
          <w:lang w:eastAsia="zh-CN"/>
        </w:rPr>
        <w:t>warranty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根据担保功率曲线</w:t>
      </w:r>
      <w:r>
        <w:rPr>
          <w:rFonts w:hint="eastAsia" w:ascii="宋体" w:hAnsi="宋体" w:eastAsia="宋体"/>
          <w:sz w:val="24"/>
          <w:szCs w:val="24"/>
          <w:lang w:eastAsia="zh-CN"/>
        </w:rPr>
        <w:t>按威尔分布系数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推算的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年发电量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0C4D3751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N</w:t>
      </w:r>
      <w:r>
        <w:rPr>
          <w:rFonts w:ascii="宋体" w:hAnsi="宋体" w:eastAsia="宋体" w:cs="宋体"/>
          <w:spacing w:val="-2"/>
          <w:sz w:val="24"/>
          <w:szCs w:val="24"/>
          <w:vertAlign w:val="subscript"/>
          <w:lang w:eastAsia="zh-CN"/>
        </w:rPr>
        <w:t>h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一年中的小时数，约为8760h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094FD042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N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区间个数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55F51F6F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V</w:t>
      </w:r>
      <w:r>
        <w:rPr>
          <w:rFonts w:ascii="宋体" w:hAnsi="宋体" w:eastAsia="宋体" w:cs="宋体"/>
          <w:spacing w:val="-2"/>
          <w:sz w:val="24"/>
          <w:szCs w:val="24"/>
          <w:vertAlign w:val="subscript"/>
          <w:lang w:eastAsia="zh-CN"/>
        </w:rPr>
        <w:t>i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第i个区间标准化的平均风速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37C3CCA7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F（V）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：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约定的风速累积概率分布函数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；</w:t>
      </w:r>
    </w:p>
    <w:p w14:paraId="6D8EE8A6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P</w:t>
      </w:r>
      <w:r>
        <w:rPr>
          <w:rFonts w:ascii="宋体" w:hAnsi="宋体" w:eastAsia="宋体" w:cs="宋体"/>
          <w:spacing w:val="-2"/>
          <w:sz w:val="24"/>
          <w:szCs w:val="24"/>
          <w:vertAlign w:val="subscript"/>
          <w:lang w:eastAsia="zh-CN"/>
        </w:rPr>
        <w:t>i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: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第i个区间标准化的平均输出功率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。</w:t>
      </w:r>
    </w:p>
    <w:p w14:paraId="1E801B2C">
      <w:pPr>
        <w:spacing w:after="0" w:line="360" w:lineRule="auto"/>
        <w:ind w:firstLine="472" w:firstLineChars="200"/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备注：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当i=1时，Pi-1设置为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0。在计算年发电量时，如果测试功率曲线的BIN区间数据未到切出风速，剩余BIN区间的功率值按照测得的最后一个风速BIN区间对应的功率值选取。</w:t>
      </w:r>
    </w:p>
    <w:p w14:paraId="339F2BFF">
      <w:pPr>
        <w:pStyle w:val="13"/>
        <w:numPr>
          <w:ilvl w:val="0"/>
          <w:numId w:val="2"/>
        </w:numPr>
        <w:spacing w:before="100" w:beforeAutospacing="1" w:after="100" w:afterAutospacing="1"/>
        <w:ind w:left="402" w:hanging="357" w:firstLineChars="0"/>
        <w:outlineLvl w:val="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记录</w:t>
      </w:r>
    </w:p>
    <w:p w14:paraId="7C679446">
      <w:pPr>
        <w:spacing w:after="0" w:line="360" w:lineRule="auto"/>
        <w:ind w:firstLine="47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  <w:lang w:eastAsia="zh-CN"/>
        </w:rPr>
        <w:t>功率曲线测试报告</w:t>
      </w:r>
      <w:r>
        <w:rPr>
          <w:rFonts w:ascii="宋体" w:hAnsi="宋体" w:eastAsia="宋体" w:cs="Times New Roman"/>
          <w:spacing w:val="-2"/>
          <w:sz w:val="24"/>
          <w:szCs w:val="24"/>
        </w:rPr>
        <w:t>×1</w:t>
      </w:r>
      <w:r>
        <w:rPr>
          <w:rFonts w:ascii="宋体" w:hAnsi="宋体" w:eastAsia="宋体" w:cs="宋体"/>
          <w:spacing w:val="-2"/>
          <w:sz w:val="24"/>
          <w:szCs w:val="24"/>
        </w:rPr>
        <w:t>；</w:t>
      </w:r>
    </w:p>
    <w:p w14:paraId="2CB03BF0">
      <w:pPr>
        <w:spacing w:before="234" w:line="219" w:lineRule="auto"/>
        <w:ind w:left="4063"/>
        <w:rPr>
          <w:rFonts w:hint="eastAsia"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pacing w:val="-1"/>
          <w:sz w:val="24"/>
          <w:szCs w:val="24"/>
        </w:rPr>
        <w:t>----</w:t>
      </w:r>
      <w:r>
        <w:rPr>
          <w:rFonts w:ascii="宋体" w:hAnsi="宋体" w:eastAsia="宋体" w:cs="宋体"/>
          <w:spacing w:val="-1"/>
          <w:sz w:val="24"/>
          <w:szCs w:val="24"/>
        </w:rPr>
        <w:t>本方案结束</w:t>
      </w:r>
      <w:r>
        <w:rPr>
          <w:rFonts w:ascii="宋体" w:hAnsi="宋体" w:eastAsia="宋体" w:cs="Times New Roman"/>
          <w:spacing w:val="-1"/>
          <w:sz w:val="24"/>
          <w:szCs w:val="24"/>
        </w:rPr>
        <w:t>----</w:t>
      </w:r>
    </w:p>
    <w:sectPr>
      <w:footerReference r:id="rId6" w:type="default"/>
      <w:pgSz w:w="11907" w:h="16841"/>
      <w:pgMar w:top="1210" w:right="1188" w:bottom="1259" w:left="1248" w:header="652" w:footer="454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CBE78">
    <w:pPr>
      <w:spacing w:line="211" w:lineRule="auto"/>
      <w:ind w:left="74"/>
      <w:rPr>
        <w:rFonts w:hint="eastAsia" w:ascii="仿宋" w:hAnsi="仿宋" w:eastAsia="仿宋" w:cs="仿宋"/>
      </w:rPr>
    </w:pPr>
    <w:r>
      <w:rPr>
        <w:rFonts w:ascii="仿宋" w:hAnsi="仿宋" w:eastAsia="仿宋" w:cs="仿宋"/>
        <w:spacing w:val="-2"/>
      </w:rPr>
      <w:t>(Rev2.1 20181015-2/6)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88773585"/>
    </w:sdtPr>
    <w:sdtContent>
      <w:p w14:paraId="1FF8C7E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737E1">
    <w:pPr>
      <w:spacing w:before="266" w:line="180" w:lineRule="auto"/>
      <w:ind w:right="26"/>
      <w:jc w:val="right"/>
      <w:rPr>
        <w:rFonts w:hint="eastAsia" w:ascii="仿宋" w:hAnsi="仿宋" w:eastAsia="仿宋" w:cs="仿宋"/>
      </w:rPr>
    </w:pPr>
    <w:r>
      <w:rPr>
        <w:rFonts w:eastAsia="Arial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845820</wp:posOffset>
              </wp:positionH>
              <wp:positionV relativeFrom="page">
                <wp:posOffset>725170</wp:posOffset>
              </wp:positionV>
              <wp:extent cx="5906770" cy="6350"/>
              <wp:effectExtent l="0" t="1270" r="635" b="1905"/>
              <wp:wrapNone/>
              <wp:docPr id="1566735070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6770" cy="6350"/>
                      </a:xfrm>
                      <a:custGeom>
                        <a:avLst/>
                        <a:gdLst>
                          <a:gd name="T0" fmla="*/ 0 w 9302"/>
                          <a:gd name="T1" fmla="*/ 9 h 10"/>
                          <a:gd name="T2" fmla="*/ 9301 w 9302"/>
                          <a:gd name="T3" fmla="*/ 9 h 10"/>
                          <a:gd name="T4" fmla="*/ 9301 w 9302"/>
                          <a:gd name="T5" fmla="*/ 0 h 10"/>
                          <a:gd name="T6" fmla="*/ 0 w 9302"/>
                          <a:gd name="T7" fmla="*/ 0 h 10"/>
                          <a:gd name="T8" fmla="*/ 0 w 9302"/>
                          <a:gd name="T9" fmla="*/ 9 h 1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9302" h="10">
                            <a:moveTo>
                              <a:pt x="0" y="9"/>
                            </a:moveTo>
                            <a:lnTo>
                              <a:pt x="9301" y="9"/>
                            </a:lnTo>
                            <a:lnTo>
                              <a:pt x="9301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2" o:spid="_x0000_s1026" o:spt="100" style="position:absolute;left:0pt;margin-left:66.6pt;margin-top:57.1pt;height:0.5pt;width:465.1pt;mso-position-horizontal-relative:page;mso-position-vertical-relative:page;z-index:251660288;mso-width-relative:page;mso-height-relative:page;" fillcolor="#000000" filled="t" stroked="f" coordsize="9302,10" o:allowincell="f" o:gfxdata="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AilrHf&#10;2QAAAAwBAAAPAAAAAAAAAAEAIAAAACIAAABkcnMvZG93bnJldi54bWxQSwECFAAUAAAACACHTuJA&#10;K1v5hgQDAAC7BwAADgAAAAAAAAABACAAAAAoAQAAZHJzL2Uyb0RvYy54bWxQSwUGAAAAAAYABgBZ&#10;AQAAngYAAAAA&#10;" path="m0,9l9301,9,9301,0,0,0,0,9xe">
              <v:path o:connectlocs="0,5715;5906135,5715;5906135,0;0,0;0,5715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845185</wp:posOffset>
          </wp:positionH>
          <wp:positionV relativeFrom="page">
            <wp:posOffset>450850</wp:posOffset>
          </wp:positionV>
          <wp:extent cx="1323975" cy="251460"/>
          <wp:effectExtent l="0" t="0" r="0" b="0"/>
          <wp:wrapNone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4101" cy="2514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仿宋" w:hAnsi="仿宋" w:eastAsia="仿宋" w:cs="仿宋"/>
        <w:spacing w:val="-1"/>
      </w:rPr>
      <w:t>JCP1918R06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4C438D"/>
    <w:multiLevelType w:val="singleLevel"/>
    <w:tmpl w:val="DB4C438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139B5B4A"/>
    <w:multiLevelType w:val="multilevel"/>
    <w:tmpl w:val="139B5B4A"/>
    <w:lvl w:ilvl="0" w:tentative="0">
      <w:start w:val="1"/>
      <w:numFmt w:val="decimal"/>
      <w:lvlText w:val="%1)"/>
      <w:lvlJc w:val="left"/>
      <w:pPr>
        <w:ind w:left="92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2">
    <w:nsid w:val="41FF1993"/>
    <w:multiLevelType w:val="multilevel"/>
    <w:tmpl w:val="41FF1993"/>
    <w:lvl w:ilvl="0" w:tentative="0">
      <w:start w:val="1"/>
      <w:numFmt w:val="decimal"/>
      <w:lvlText w:val="%1）"/>
      <w:lvlJc w:val="left"/>
      <w:pPr>
        <w:ind w:left="83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54" w:hanging="440"/>
      </w:pPr>
    </w:lvl>
    <w:lvl w:ilvl="2" w:tentative="0">
      <w:start w:val="1"/>
      <w:numFmt w:val="lowerRoman"/>
      <w:lvlText w:val="%3."/>
      <w:lvlJc w:val="right"/>
      <w:pPr>
        <w:ind w:left="1794" w:hanging="440"/>
      </w:pPr>
    </w:lvl>
    <w:lvl w:ilvl="3" w:tentative="0">
      <w:start w:val="1"/>
      <w:numFmt w:val="decimal"/>
      <w:lvlText w:val="%4."/>
      <w:lvlJc w:val="left"/>
      <w:pPr>
        <w:ind w:left="2234" w:hanging="440"/>
      </w:pPr>
    </w:lvl>
    <w:lvl w:ilvl="4" w:tentative="0">
      <w:start w:val="1"/>
      <w:numFmt w:val="lowerLetter"/>
      <w:lvlText w:val="%5)"/>
      <w:lvlJc w:val="left"/>
      <w:pPr>
        <w:ind w:left="2674" w:hanging="440"/>
      </w:pPr>
    </w:lvl>
    <w:lvl w:ilvl="5" w:tentative="0">
      <w:start w:val="1"/>
      <w:numFmt w:val="lowerRoman"/>
      <w:lvlText w:val="%6."/>
      <w:lvlJc w:val="right"/>
      <w:pPr>
        <w:ind w:left="3114" w:hanging="440"/>
      </w:pPr>
    </w:lvl>
    <w:lvl w:ilvl="6" w:tentative="0">
      <w:start w:val="1"/>
      <w:numFmt w:val="decimal"/>
      <w:lvlText w:val="%7."/>
      <w:lvlJc w:val="left"/>
      <w:pPr>
        <w:ind w:left="3554" w:hanging="440"/>
      </w:pPr>
    </w:lvl>
    <w:lvl w:ilvl="7" w:tentative="0">
      <w:start w:val="1"/>
      <w:numFmt w:val="lowerLetter"/>
      <w:lvlText w:val="%8)"/>
      <w:lvlJc w:val="left"/>
      <w:pPr>
        <w:ind w:left="3994" w:hanging="440"/>
      </w:pPr>
    </w:lvl>
    <w:lvl w:ilvl="8" w:tentative="0">
      <w:start w:val="1"/>
      <w:numFmt w:val="lowerRoman"/>
      <w:lvlText w:val="%9."/>
      <w:lvlJc w:val="right"/>
      <w:pPr>
        <w:ind w:left="4434" w:hanging="440"/>
      </w:pPr>
    </w:lvl>
  </w:abstractNum>
  <w:abstractNum w:abstractNumId="3">
    <w:nsid w:val="5D635B67"/>
    <w:multiLevelType w:val="multilevel"/>
    <w:tmpl w:val="5D635B67"/>
    <w:lvl w:ilvl="0" w:tentative="0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E5C001A"/>
    <w:multiLevelType w:val="multilevel"/>
    <w:tmpl w:val="6E5C001A"/>
    <w:lvl w:ilvl="0" w:tentative="0">
      <w:start w:val="1"/>
      <w:numFmt w:val="decimal"/>
      <w:lvlText w:val="%1."/>
      <w:lvlJc w:val="left"/>
      <w:pPr>
        <w:ind w:left="406" w:hanging="360"/>
      </w:pPr>
      <w:rPr>
        <w:rFonts w:hint="default" w:ascii="宋体" w:hAnsi="宋体" w:eastAsia="宋体" w:cs="Times New Roman"/>
        <w:b/>
      </w:rPr>
    </w:lvl>
    <w:lvl w:ilvl="1" w:tentative="0">
      <w:start w:val="1"/>
      <w:numFmt w:val="lowerLetter"/>
      <w:lvlText w:val="%2)"/>
      <w:lvlJc w:val="left"/>
      <w:pPr>
        <w:ind w:left="926" w:hanging="440"/>
      </w:pPr>
    </w:lvl>
    <w:lvl w:ilvl="2" w:tentative="0">
      <w:start w:val="1"/>
      <w:numFmt w:val="lowerRoman"/>
      <w:lvlText w:val="%3."/>
      <w:lvlJc w:val="right"/>
      <w:pPr>
        <w:ind w:left="1366" w:hanging="440"/>
      </w:pPr>
    </w:lvl>
    <w:lvl w:ilvl="3" w:tentative="0">
      <w:start w:val="1"/>
      <w:numFmt w:val="decimal"/>
      <w:lvlText w:val="%4."/>
      <w:lvlJc w:val="left"/>
      <w:pPr>
        <w:ind w:left="1806" w:hanging="440"/>
      </w:pPr>
    </w:lvl>
    <w:lvl w:ilvl="4" w:tentative="0">
      <w:start w:val="1"/>
      <w:numFmt w:val="lowerLetter"/>
      <w:lvlText w:val="%5)"/>
      <w:lvlJc w:val="left"/>
      <w:pPr>
        <w:ind w:left="2246" w:hanging="440"/>
      </w:pPr>
    </w:lvl>
    <w:lvl w:ilvl="5" w:tentative="0">
      <w:start w:val="1"/>
      <w:numFmt w:val="lowerRoman"/>
      <w:lvlText w:val="%6."/>
      <w:lvlJc w:val="right"/>
      <w:pPr>
        <w:ind w:left="2686" w:hanging="440"/>
      </w:pPr>
    </w:lvl>
    <w:lvl w:ilvl="6" w:tentative="0">
      <w:start w:val="1"/>
      <w:numFmt w:val="decimal"/>
      <w:lvlText w:val="%7."/>
      <w:lvlJc w:val="left"/>
      <w:pPr>
        <w:ind w:left="3126" w:hanging="440"/>
      </w:pPr>
    </w:lvl>
    <w:lvl w:ilvl="7" w:tentative="0">
      <w:start w:val="1"/>
      <w:numFmt w:val="lowerLetter"/>
      <w:lvlText w:val="%8)"/>
      <w:lvlJc w:val="left"/>
      <w:pPr>
        <w:ind w:left="3566" w:hanging="440"/>
      </w:pPr>
    </w:lvl>
    <w:lvl w:ilvl="8" w:tentative="0">
      <w:start w:val="1"/>
      <w:numFmt w:val="lowerRoman"/>
      <w:lvlText w:val="%9."/>
      <w:lvlJc w:val="right"/>
      <w:pPr>
        <w:ind w:left="4006" w:hanging="440"/>
      </w:pPr>
    </w:lvl>
  </w:abstractNum>
  <w:abstractNum w:abstractNumId="5">
    <w:nsid w:val="72CD6849"/>
    <w:multiLevelType w:val="multilevel"/>
    <w:tmpl w:val="72CD6849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00F6545B"/>
    <w:rsid w:val="000425F5"/>
    <w:rsid w:val="000509BF"/>
    <w:rsid w:val="000914CB"/>
    <w:rsid w:val="000B4411"/>
    <w:rsid w:val="00125F2F"/>
    <w:rsid w:val="001658CF"/>
    <w:rsid w:val="001D739B"/>
    <w:rsid w:val="001F40AD"/>
    <w:rsid w:val="00206418"/>
    <w:rsid w:val="00240585"/>
    <w:rsid w:val="002B2011"/>
    <w:rsid w:val="002C5B92"/>
    <w:rsid w:val="002F027D"/>
    <w:rsid w:val="003813C9"/>
    <w:rsid w:val="0038750C"/>
    <w:rsid w:val="00392E0F"/>
    <w:rsid w:val="00417D6E"/>
    <w:rsid w:val="00426AD1"/>
    <w:rsid w:val="004636C6"/>
    <w:rsid w:val="0049589B"/>
    <w:rsid w:val="00502566"/>
    <w:rsid w:val="005D6CB7"/>
    <w:rsid w:val="005E2E6A"/>
    <w:rsid w:val="005E2F5E"/>
    <w:rsid w:val="00675FAE"/>
    <w:rsid w:val="006D0D54"/>
    <w:rsid w:val="006F6030"/>
    <w:rsid w:val="007151F3"/>
    <w:rsid w:val="0076185F"/>
    <w:rsid w:val="0080482E"/>
    <w:rsid w:val="00873A45"/>
    <w:rsid w:val="008F3AA9"/>
    <w:rsid w:val="009464E4"/>
    <w:rsid w:val="009500E9"/>
    <w:rsid w:val="009E54E7"/>
    <w:rsid w:val="00AC2C31"/>
    <w:rsid w:val="00AF4400"/>
    <w:rsid w:val="00B13008"/>
    <w:rsid w:val="00BA555E"/>
    <w:rsid w:val="00C21C21"/>
    <w:rsid w:val="00CA0B6D"/>
    <w:rsid w:val="00DB1EA5"/>
    <w:rsid w:val="00DC5564"/>
    <w:rsid w:val="00DD3F21"/>
    <w:rsid w:val="00DD60A3"/>
    <w:rsid w:val="00E621C2"/>
    <w:rsid w:val="00EE4E21"/>
    <w:rsid w:val="00EE74EF"/>
    <w:rsid w:val="00EE7F54"/>
    <w:rsid w:val="00F6545B"/>
    <w:rsid w:val="00F90CD5"/>
    <w:rsid w:val="00FA6523"/>
    <w:rsid w:val="00FB51EF"/>
    <w:rsid w:val="00FF070E"/>
    <w:rsid w:val="01D31020"/>
    <w:rsid w:val="03CC2854"/>
    <w:rsid w:val="043642DB"/>
    <w:rsid w:val="083A484C"/>
    <w:rsid w:val="099802F0"/>
    <w:rsid w:val="0AC81AAE"/>
    <w:rsid w:val="0B755AA9"/>
    <w:rsid w:val="0DE325EB"/>
    <w:rsid w:val="0F58285B"/>
    <w:rsid w:val="0FF91B6B"/>
    <w:rsid w:val="140711B6"/>
    <w:rsid w:val="17F35B20"/>
    <w:rsid w:val="1C51541D"/>
    <w:rsid w:val="1D1F6066"/>
    <w:rsid w:val="203A77CC"/>
    <w:rsid w:val="2612632F"/>
    <w:rsid w:val="2DC3355D"/>
    <w:rsid w:val="38653A79"/>
    <w:rsid w:val="3A2E22D5"/>
    <w:rsid w:val="3A914234"/>
    <w:rsid w:val="3CE82EE6"/>
    <w:rsid w:val="478E44FE"/>
    <w:rsid w:val="48076E17"/>
    <w:rsid w:val="496D089A"/>
    <w:rsid w:val="50567DE8"/>
    <w:rsid w:val="5D602902"/>
    <w:rsid w:val="62DB4F80"/>
    <w:rsid w:val="691A22E0"/>
    <w:rsid w:val="6B391DD8"/>
    <w:rsid w:val="6EEA1286"/>
    <w:rsid w:val="712A42EA"/>
    <w:rsid w:val="72691B25"/>
    <w:rsid w:val="72901CD2"/>
    <w:rsid w:val="7B29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semiHidden/>
    <w:qFormat/>
    <w:uiPriority w:val="0"/>
    <w:rPr>
      <w:rFonts w:eastAsia="Arial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fontstyle01"/>
    <w:basedOn w:val="8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3456</Words>
  <Characters>4082</Characters>
  <Lines>212</Lines>
  <Paragraphs>272</Paragraphs>
  <TotalTime>6</TotalTime>
  <ScaleCrop>false</ScaleCrop>
  <LinksUpToDate>false</LinksUpToDate>
  <CharactersWithSpaces>4143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2024-10-19T14:40:00Z</dcterms:created>
  <dc:creator>wu</dc:creator>
  <cp:lastModifiedBy>白山茶</cp:lastModifiedBy>
  <cp:lastPrinted>2025-08-29T02:26:00Z</cp:lastPrinted>
  <dcterms:modified xsi:type="dcterms:W3CDTF">2026-07-13T06:53:24Z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2024-06-18T18:27:37Z</vt:filetime>
  </property>
  <property fmtid="{D5CDD505-2E9C-101B-9397-08002B2CF9AE}" pid="4" name="KSOProductBuildVer">
    <vt:lpwstr>2052-12.1.0.26375</vt:lpwstr>
  </property>
  <property fmtid="{D5CDD505-2E9C-101B-9397-08002B2CF9AE}" pid="5" name="ICV">
    <vt:lpwstr>544FF0ED77A240A4A737B8D1DBFD3227_13</vt:lpwstr>
  </property>
  <property fmtid="{D5CDD505-2E9C-101B-9397-08002B2CF9AE}" pid="6" name="KSOTemplateDocerSaveRecord">
    <vt:lpwstr>eyJoZGlkIjoiNGVkMGM0N2MyYmI0YWIyOTVlNWVjMGU1NDg2NTRmMGYiLCJ1c2VySWQiOiI4NDgzNDgzNDYifQ==</vt:lpwstr>
  </property>
</Properties>
</file>